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5EA0" w14:textId="4F19A552" w:rsidR="00530CF1" w:rsidRPr="00827FCD" w:rsidRDefault="00000000" w:rsidP="00827FCD">
      <w:pPr>
        <w:pStyle w:val="Heading1"/>
        <w:rPr>
          <w:rFonts w:ascii="Arial" w:hAnsi="Arial" w:cs="Arial"/>
          <w:color w:val="auto"/>
        </w:rPr>
      </w:pPr>
      <w:r w:rsidRPr="00827FCD">
        <w:rPr>
          <w:rFonts w:ascii="Arial" w:hAnsi="Arial" w:cs="Arial"/>
          <w:color w:val="auto"/>
        </w:rPr>
        <w:t>Humber Teaching NHS Foundation Trust</w:t>
      </w:r>
    </w:p>
    <w:p w14:paraId="7B6502F4" w14:textId="77777777" w:rsidR="00530CF1" w:rsidRPr="00827FCD" w:rsidRDefault="00000000" w:rsidP="00827FCD">
      <w:pPr>
        <w:pStyle w:val="Heading1"/>
        <w:rPr>
          <w:rFonts w:ascii="Arial" w:hAnsi="Arial" w:cs="Arial"/>
          <w:color w:val="auto"/>
        </w:rPr>
      </w:pPr>
      <w:r w:rsidRPr="00827FCD">
        <w:rPr>
          <w:rFonts w:ascii="Arial" w:hAnsi="Arial" w:cs="Arial"/>
          <w:color w:val="auto"/>
        </w:rPr>
        <w:t>Green Plan</w:t>
      </w:r>
    </w:p>
    <w:p w14:paraId="48CF6D93" w14:textId="63E197E7" w:rsidR="00530CF1" w:rsidRPr="00827FCD" w:rsidRDefault="00000000" w:rsidP="00827FCD">
      <w:pPr>
        <w:pStyle w:val="Heading1"/>
        <w:rPr>
          <w:rFonts w:ascii="Arial" w:hAnsi="Arial" w:cs="Arial"/>
          <w:color w:val="auto"/>
        </w:rPr>
      </w:pPr>
      <w:r w:rsidRPr="00827FCD">
        <w:rPr>
          <w:rFonts w:ascii="Arial" w:hAnsi="Arial" w:cs="Arial"/>
          <w:color w:val="auto"/>
        </w:rPr>
        <w:t>2025 – 2028</w:t>
      </w:r>
    </w:p>
    <w:p w14:paraId="28988F0E" w14:textId="77777777" w:rsidR="00B81922" w:rsidRPr="00B81922" w:rsidRDefault="00B81922">
      <w:pPr>
        <w:rPr>
          <w:rFonts w:ascii="Arial" w:hAnsi="Arial" w:cs="Arial"/>
        </w:rPr>
      </w:pPr>
    </w:p>
    <w:p w14:paraId="431929BE" w14:textId="756A068E" w:rsidR="00530CF1" w:rsidRPr="005F312C" w:rsidRDefault="00000000" w:rsidP="005F312C">
      <w:pPr>
        <w:pStyle w:val="Heading1"/>
      </w:pPr>
      <w:r w:rsidRPr="005F312C">
        <w:t>For</w:t>
      </w:r>
      <w:r w:rsidR="00B81922" w:rsidRPr="005F312C">
        <w:t>e</w:t>
      </w:r>
      <w:r w:rsidRPr="005F312C">
        <w:t>word</w:t>
      </w:r>
    </w:p>
    <w:p w14:paraId="73A2539E" w14:textId="7F8A6F6A" w:rsidR="00530CF1" w:rsidRPr="00B81922" w:rsidRDefault="00000000">
      <w:pPr>
        <w:rPr>
          <w:rFonts w:ascii="Arial" w:hAnsi="Arial" w:cs="Arial"/>
        </w:rPr>
      </w:pPr>
      <w:r w:rsidRPr="00B81922">
        <w:rPr>
          <w:rFonts w:ascii="Arial" w:hAnsi="Arial" w:cs="Arial"/>
        </w:rPr>
        <w:t xml:space="preserve">Since the publication of our first Green Plan in 2022, the Trust has made significant strides in reducing its environmental impact and embedding sustainability across its operations. </w:t>
      </w:r>
    </w:p>
    <w:p w14:paraId="78EFFD7A" w14:textId="7CE14332" w:rsidR="00530CF1" w:rsidRPr="00B81922" w:rsidRDefault="00000000">
      <w:pPr>
        <w:rPr>
          <w:rFonts w:ascii="Arial" w:hAnsi="Arial" w:cs="Arial"/>
        </w:rPr>
      </w:pPr>
      <w:r w:rsidRPr="00B81922">
        <w:rPr>
          <w:rFonts w:ascii="Arial" w:hAnsi="Arial" w:cs="Arial"/>
        </w:rPr>
        <w:t>As a healthcare provider serving diverse communities across Hull, the East Riding of Yorkshire, Whitby, Scarborough, and Ryedale, we remain committed to playing our part in addressing the climate emergency and building a healthier, more resilient future.</w:t>
      </w:r>
    </w:p>
    <w:p w14:paraId="003C49CE" w14:textId="68DBC195" w:rsidR="00530CF1" w:rsidRPr="00B81922" w:rsidRDefault="00000000">
      <w:pPr>
        <w:rPr>
          <w:rFonts w:ascii="Arial" w:hAnsi="Arial" w:cs="Arial"/>
        </w:rPr>
      </w:pPr>
      <w:r w:rsidRPr="00B81922">
        <w:rPr>
          <w:rFonts w:ascii="Arial" w:hAnsi="Arial" w:cs="Arial"/>
        </w:rPr>
        <w:t xml:space="preserve">At the start of our Green Plan journey, and to meet our ambition of becoming a Net Zero </w:t>
      </w:r>
      <w:proofErr w:type="spellStart"/>
      <w:r w:rsidRPr="00B81922">
        <w:rPr>
          <w:rFonts w:ascii="Arial" w:hAnsi="Arial" w:cs="Arial"/>
        </w:rPr>
        <w:t>organisation</w:t>
      </w:r>
      <w:proofErr w:type="spellEnd"/>
      <w:r w:rsidRPr="00B81922">
        <w:rPr>
          <w:rFonts w:ascii="Arial" w:hAnsi="Arial" w:cs="Arial"/>
        </w:rPr>
        <w:t xml:space="preserve"> by 2035, we committed to an annual emissions reduction of 7.14%. By the end of 2023/24, I am proud to report that we had achieved a 31.43% reduction – more than double our interim target. This exceptional progress has enabled us to set a revised baseline for the next phase of our journey and to adopt a new annual reduction target of 5.7% through to 2028.</w:t>
      </w:r>
    </w:p>
    <w:p w14:paraId="23E822A1" w14:textId="77777777" w:rsidR="00530CF1" w:rsidRPr="00B81922" w:rsidRDefault="00000000">
      <w:pPr>
        <w:rPr>
          <w:rFonts w:ascii="Arial" w:hAnsi="Arial" w:cs="Arial"/>
        </w:rPr>
      </w:pPr>
      <w:r w:rsidRPr="00B81922">
        <w:rPr>
          <w:rFonts w:ascii="Arial" w:hAnsi="Arial" w:cs="Arial"/>
        </w:rPr>
        <w:t>This updated Green Plan responds directly to the revised NHS Green Plan Guidance (2025), which places even greater emphasis on integrated leadership, data-driven delivery, and collaboration across health and care systems. It also builds on the strong foundations already laid by our staff and partners, who have shown unwavering commitment to improving our environmental performance while continuing to deliver high-quality patient care.</w:t>
      </w:r>
    </w:p>
    <w:p w14:paraId="607D6E90" w14:textId="519E6B09" w:rsidR="00530CF1" w:rsidRPr="00B81922" w:rsidRDefault="00000000">
      <w:pPr>
        <w:rPr>
          <w:rFonts w:ascii="Arial" w:hAnsi="Arial" w:cs="Arial"/>
        </w:rPr>
      </w:pPr>
      <w:r w:rsidRPr="00B81922">
        <w:rPr>
          <w:rFonts w:ascii="Arial" w:hAnsi="Arial" w:cs="Arial"/>
        </w:rPr>
        <w:t xml:space="preserve">Over the next three years, this Green Plan will guide our efforts to further </w:t>
      </w:r>
      <w:proofErr w:type="spellStart"/>
      <w:r w:rsidRPr="00B81922">
        <w:rPr>
          <w:rFonts w:ascii="Arial" w:hAnsi="Arial" w:cs="Arial"/>
        </w:rPr>
        <w:t>decarbonise</w:t>
      </w:r>
      <w:proofErr w:type="spellEnd"/>
      <w:r w:rsidRPr="00B81922">
        <w:rPr>
          <w:rFonts w:ascii="Arial" w:hAnsi="Arial" w:cs="Arial"/>
        </w:rPr>
        <w:t xml:space="preserve"> our estate and operations, strengthen climate resilience, and support the health of our communities through sustainable and equitable service delivery. It reflects our ongoing commitment to aligning local action with national priorities, and to embedding sustainability into everything we do – </w:t>
      </w:r>
      <w:proofErr w:type="gramStart"/>
      <w:r w:rsidRPr="00B81922">
        <w:rPr>
          <w:rFonts w:ascii="Arial" w:hAnsi="Arial" w:cs="Arial"/>
        </w:rPr>
        <w:t>from procurement and travel,</w:t>
      </w:r>
      <w:proofErr w:type="gramEnd"/>
      <w:r w:rsidRPr="00B81922">
        <w:rPr>
          <w:rFonts w:ascii="Arial" w:hAnsi="Arial" w:cs="Arial"/>
        </w:rPr>
        <w:t xml:space="preserve"> to clinical care and digital transformation.</w:t>
      </w:r>
    </w:p>
    <w:p w14:paraId="01DEFABD" w14:textId="457D266A" w:rsidR="00530CF1" w:rsidRPr="00B81922" w:rsidRDefault="00000000">
      <w:pPr>
        <w:rPr>
          <w:rFonts w:ascii="Arial" w:hAnsi="Arial" w:cs="Arial"/>
        </w:rPr>
      </w:pPr>
      <w:r w:rsidRPr="00B81922">
        <w:rPr>
          <w:rFonts w:ascii="Arial" w:hAnsi="Arial" w:cs="Arial"/>
        </w:rPr>
        <w:t>We know that achieving Net Zero by 2035 is a challenge, but it is one we must rise to. By working together, sharing responsibility, and continuing to innovate, we can create a lasting positive impact for both the environment and the people we serve.</w:t>
      </w:r>
    </w:p>
    <w:p w14:paraId="6245E7DE" w14:textId="77777777" w:rsidR="00530CF1" w:rsidRPr="00B81922" w:rsidRDefault="00000000">
      <w:pPr>
        <w:rPr>
          <w:rFonts w:ascii="Arial" w:hAnsi="Arial" w:cs="Arial"/>
        </w:rPr>
      </w:pPr>
      <w:r w:rsidRPr="00B81922">
        <w:rPr>
          <w:rFonts w:ascii="Arial" w:hAnsi="Arial" w:cs="Arial"/>
        </w:rPr>
        <w:lastRenderedPageBreak/>
        <w:t xml:space="preserve">Peter Beckwith </w:t>
      </w:r>
    </w:p>
    <w:p w14:paraId="2EDD2D3B" w14:textId="77777777" w:rsidR="00530CF1" w:rsidRPr="00B81922" w:rsidRDefault="00000000">
      <w:pPr>
        <w:rPr>
          <w:rFonts w:ascii="Arial" w:hAnsi="Arial" w:cs="Arial"/>
        </w:rPr>
      </w:pPr>
      <w:r w:rsidRPr="00B81922">
        <w:rPr>
          <w:rFonts w:ascii="Arial" w:hAnsi="Arial" w:cs="Arial"/>
        </w:rPr>
        <w:t xml:space="preserve">Executive Director of Finance </w:t>
      </w:r>
    </w:p>
    <w:p w14:paraId="01918046" w14:textId="6D378ACB" w:rsidR="00530CF1" w:rsidRDefault="00000000">
      <w:pPr>
        <w:rPr>
          <w:rFonts w:ascii="Arial" w:hAnsi="Arial" w:cs="Arial"/>
        </w:rPr>
      </w:pPr>
      <w:r w:rsidRPr="00B81922">
        <w:rPr>
          <w:rFonts w:ascii="Arial" w:hAnsi="Arial" w:cs="Arial"/>
        </w:rPr>
        <w:t>Board Net Zero and sustainability lead</w:t>
      </w:r>
    </w:p>
    <w:p w14:paraId="1A73B488" w14:textId="77777777" w:rsidR="00B81922" w:rsidRPr="00B81922" w:rsidRDefault="00B81922">
      <w:pPr>
        <w:rPr>
          <w:rFonts w:ascii="Arial" w:hAnsi="Arial" w:cs="Arial"/>
        </w:rPr>
      </w:pPr>
    </w:p>
    <w:p w14:paraId="0A9EE447" w14:textId="06D4893B" w:rsidR="00530CF1" w:rsidRPr="00B81922" w:rsidRDefault="00000000" w:rsidP="005F312C">
      <w:pPr>
        <w:pStyle w:val="Heading1"/>
      </w:pPr>
      <w:r w:rsidRPr="00B81922">
        <w:t>Introduction</w:t>
      </w:r>
    </w:p>
    <w:p w14:paraId="29EFCEFB" w14:textId="22A15D19" w:rsidR="00530CF1" w:rsidRPr="00B81922" w:rsidRDefault="00000000">
      <w:pPr>
        <w:rPr>
          <w:rFonts w:ascii="Arial" w:hAnsi="Arial" w:cs="Arial"/>
        </w:rPr>
      </w:pPr>
      <w:r w:rsidRPr="00B81922">
        <w:rPr>
          <w:rFonts w:ascii="Arial" w:hAnsi="Arial" w:cs="Arial"/>
        </w:rPr>
        <w:t>Humber Teaching NHS Foundation Trust has published its new Green Plan for 2025 to 2028 – an ambitious strategic document aligned with the latest guidance from the Greener NHS. This plan reflects the Trust’s ongoing commitment to environmental sustainability as a fundamental part of its mission to enhance the health and well-being of the communities it serves.</w:t>
      </w:r>
    </w:p>
    <w:p w14:paraId="24717098" w14:textId="237D588F" w:rsidR="00530CF1" w:rsidRPr="00B81922" w:rsidRDefault="00000000">
      <w:pPr>
        <w:rPr>
          <w:rFonts w:ascii="Arial" w:hAnsi="Arial" w:cs="Arial"/>
        </w:rPr>
      </w:pPr>
      <w:r w:rsidRPr="00B81922">
        <w:rPr>
          <w:rFonts w:ascii="Arial" w:hAnsi="Arial" w:cs="Arial"/>
        </w:rPr>
        <w:t xml:space="preserve">In response to the updated Greener NHS guidance issued in February 2025, which called for healthcare </w:t>
      </w:r>
      <w:proofErr w:type="spellStart"/>
      <w:r w:rsidRPr="00B81922">
        <w:rPr>
          <w:rFonts w:ascii="Arial" w:hAnsi="Arial" w:cs="Arial"/>
        </w:rPr>
        <w:t>organisations</w:t>
      </w:r>
      <w:proofErr w:type="spellEnd"/>
      <w:r w:rsidRPr="00B81922">
        <w:rPr>
          <w:rFonts w:ascii="Arial" w:hAnsi="Arial" w:cs="Arial"/>
        </w:rPr>
        <w:t xml:space="preserve"> to lead in addressing climate change, the Trust’s Green Plan outlines a clear and actionable framework. It sets out measures to reduce carbon emissions, improve resource efficiency, and foster a culture of sustainability across all levels of the </w:t>
      </w:r>
      <w:proofErr w:type="spellStart"/>
      <w:r w:rsidRPr="00B81922">
        <w:rPr>
          <w:rFonts w:ascii="Arial" w:hAnsi="Arial" w:cs="Arial"/>
        </w:rPr>
        <w:t>organisation</w:t>
      </w:r>
      <w:proofErr w:type="spellEnd"/>
      <w:r w:rsidRPr="00B81922">
        <w:rPr>
          <w:rFonts w:ascii="Arial" w:hAnsi="Arial" w:cs="Arial"/>
        </w:rPr>
        <w:t>.</w:t>
      </w:r>
    </w:p>
    <w:p w14:paraId="2EF9485E" w14:textId="77777777" w:rsidR="00530CF1" w:rsidRPr="00B81922" w:rsidRDefault="00000000">
      <w:pPr>
        <w:rPr>
          <w:rFonts w:ascii="Arial" w:hAnsi="Arial" w:cs="Arial"/>
        </w:rPr>
      </w:pPr>
      <w:r w:rsidRPr="00B81922">
        <w:rPr>
          <w:rFonts w:ascii="Arial" w:hAnsi="Arial" w:cs="Arial"/>
        </w:rPr>
        <w:t xml:space="preserve">With a workforce of approximately 3,600 staff, Humber Teaching NHS Foundation Trust delivers a broad range of services, including adult and children’s mental health, neurodiversity support, addictions recovery, forensic services, general practice, pharmacy services, and community hospitals. </w:t>
      </w:r>
    </w:p>
    <w:p w14:paraId="15B64956" w14:textId="1ABB1C93" w:rsidR="00530CF1" w:rsidRPr="00B81922" w:rsidRDefault="00000000">
      <w:pPr>
        <w:rPr>
          <w:rFonts w:ascii="Arial" w:hAnsi="Arial" w:cs="Arial"/>
        </w:rPr>
      </w:pPr>
      <w:r w:rsidRPr="00B81922">
        <w:rPr>
          <w:rFonts w:ascii="Arial" w:hAnsi="Arial" w:cs="Arial"/>
        </w:rPr>
        <w:t>These services reach a population of 765,000 people across Hull, the East Riding of Yorkshire, Whitby, Scarborough, and Ryedale.</w:t>
      </w:r>
    </w:p>
    <w:p w14:paraId="59FAEE24" w14:textId="1743F6D7" w:rsidR="00530CF1" w:rsidRPr="00B81922" w:rsidRDefault="00000000">
      <w:pPr>
        <w:rPr>
          <w:rFonts w:ascii="Arial" w:hAnsi="Arial" w:cs="Arial"/>
        </w:rPr>
      </w:pPr>
      <w:r w:rsidRPr="00B81922">
        <w:rPr>
          <w:rFonts w:ascii="Arial" w:hAnsi="Arial" w:cs="Arial"/>
        </w:rPr>
        <w:t>The Trust acknowledges its responsibility to transition towards Net Zero and is actively working to reduce emissions, limit environmental impact, and improve resource stewardship. Regular reporting to staff and partners will be essential for monitoring progress and ensuring transparency in its sustainability journey.</w:t>
      </w:r>
    </w:p>
    <w:p w14:paraId="0FCD198F" w14:textId="230E0B3F" w:rsidR="00530CF1" w:rsidRDefault="00000000">
      <w:pPr>
        <w:rPr>
          <w:rFonts w:ascii="Arial" w:hAnsi="Arial" w:cs="Arial"/>
        </w:rPr>
      </w:pPr>
      <w:r w:rsidRPr="00B81922">
        <w:rPr>
          <w:rFonts w:ascii="Arial" w:hAnsi="Arial" w:cs="Arial"/>
        </w:rPr>
        <w:t xml:space="preserve">Over the next three years, the Green Plan will provide direction and embed its principles across the </w:t>
      </w:r>
      <w:proofErr w:type="spellStart"/>
      <w:r w:rsidRPr="00B81922">
        <w:rPr>
          <w:rFonts w:ascii="Arial" w:hAnsi="Arial" w:cs="Arial"/>
        </w:rPr>
        <w:t>organisation</w:t>
      </w:r>
      <w:proofErr w:type="spellEnd"/>
      <w:r w:rsidRPr="00B81922">
        <w:rPr>
          <w:rFonts w:ascii="Arial" w:hAnsi="Arial" w:cs="Arial"/>
        </w:rPr>
        <w:t>. It will underpin ongoing efforts by staff to enhance services in a way that supports both environmental protection and the long-term sustainability of the NHS.</w:t>
      </w:r>
    </w:p>
    <w:p w14:paraId="35031DBC" w14:textId="77777777" w:rsidR="00B81922" w:rsidRPr="00B81922" w:rsidRDefault="00B81922">
      <w:pPr>
        <w:rPr>
          <w:rFonts w:ascii="Arial" w:hAnsi="Arial" w:cs="Arial"/>
        </w:rPr>
      </w:pPr>
    </w:p>
    <w:p w14:paraId="044829DB" w14:textId="6CD2412E" w:rsidR="00530CF1" w:rsidRPr="00B81922" w:rsidRDefault="00000000" w:rsidP="005F312C">
      <w:pPr>
        <w:pStyle w:val="Heading1"/>
      </w:pPr>
      <w:r w:rsidRPr="00B81922">
        <w:t>Sustainability Team</w:t>
      </w:r>
    </w:p>
    <w:p w14:paraId="777EDEB6" w14:textId="591B84FC" w:rsidR="00530CF1" w:rsidRPr="00B81922" w:rsidRDefault="00000000">
      <w:pPr>
        <w:rPr>
          <w:rFonts w:ascii="Arial" w:hAnsi="Arial" w:cs="Arial"/>
        </w:rPr>
      </w:pPr>
      <w:r w:rsidRPr="00B81922">
        <w:rPr>
          <w:rFonts w:ascii="Arial" w:hAnsi="Arial" w:cs="Arial"/>
        </w:rPr>
        <w:t>Our commitment to sustainability and the future of care</w:t>
      </w:r>
    </w:p>
    <w:p w14:paraId="129DCC29" w14:textId="0FC99A61" w:rsidR="00530CF1" w:rsidRPr="00B81922" w:rsidRDefault="00000000">
      <w:pPr>
        <w:rPr>
          <w:rFonts w:ascii="Arial" w:hAnsi="Arial" w:cs="Arial"/>
        </w:rPr>
      </w:pPr>
      <w:r w:rsidRPr="00B81922">
        <w:rPr>
          <w:rFonts w:ascii="Arial" w:hAnsi="Arial" w:cs="Arial"/>
        </w:rPr>
        <w:lastRenderedPageBreak/>
        <w:t>At Humber Teaching NHS Foundation Trust, sustainability is at the heart of our mission. Our team is dedicated to embedding environmental responsibility into healthcare, ensuring that our services are resilient, efficient, and aligned with the NHS’s Net Zero goals.</w:t>
      </w:r>
    </w:p>
    <w:p w14:paraId="0CE3E4F0" w14:textId="7248E35A" w:rsidR="00530CF1" w:rsidRPr="00B81922" w:rsidRDefault="00000000">
      <w:pPr>
        <w:rPr>
          <w:rFonts w:ascii="Arial" w:hAnsi="Arial" w:cs="Arial"/>
        </w:rPr>
      </w:pPr>
      <w:r w:rsidRPr="00B81922">
        <w:rPr>
          <w:rFonts w:ascii="Arial" w:hAnsi="Arial" w:cs="Arial"/>
        </w:rPr>
        <w:t xml:space="preserve">The Green Plan serves as a roadmap for progress – driving measurable carbon reductions, improving energy efficiency, and integrating sustainability into daily operations. By working collaboratively across the </w:t>
      </w:r>
      <w:proofErr w:type="spellStart"/>
      <w:r w:rsidRPr="00B81922">
        <w:rPr>
          <w:rFonts w:ascii="Arial" w:hAnsi="Arial" w:cs="Arial"/>
        </w:rPr>
        <w:t>organisation</w:t>
      </w:r>
      <w:proofErr w:type="spellEnd"/>
      <w:r w:rsidRPr="00B81922">
        <w:rPr>
          <w:rFonts w:ascii="Arial" w:hAnsi="Arial" w:cs="Arial"/>
        </w:rPr>
        <w:t xml:space="preserve"> with all stakeholders to reduce the environmental impact and future-proof our services, we can enhance the provision of service delivery for patient care.</w:t>
      </w:r>
    </w:p>
    <w:p w14:paraId="3290CC0E" w14:textId="4434451E" w:rsidR="00530CF1" w:rsidRPr="00B81922" w:rsidRDefault="00000000">
      <w:pPr>
        <w:rPr>
          <w:rFonts w:ascii="Arial" w:hAnsi="Arial" w:cs="Arial"/>
        </w:rPr>
      </w:pPr>
      <w:r w:rsidRPr="00B81922">
        <w:rPr>
          <w:rFonts w:ascii="Arial" w:hAnsi="Arial" w:cs="Arial"/>
        </w:rPr>
        <w:t>This journey is about more than compliance; it’s about leadership, innovation, and creating meaningful change. Through renewable energy initiatives, waste management improvements, and sustainable procurement, we are not only transforming how we operate but also ensuring long-term benefits for our patients, staff, and communities.</w:t>
      </w:r>
    </w:p>
    <w:p w14:paraId="75830F84" w14:textId="244C6D7C" w:rsidR="00530CF1" w:rsidRPr="00B81922" w:rsidRDefault="00000000">
      <w:pPr>
        <w:rPr>
          <w:rFonts w:ascii="Arial" w:hAnsi="Arial" w:cs="Arial"/>
        </w:rPr>
      </w:pPr>
      <w:r w:rsidRPr="00B81922">
        <w:rPr>
          <w:rFonts w:ascii="Arial" w:hAnsi="Arial" w:cs="Arial"/>
        </w:rPr>
        <w:t>“Our commitment to sustainability is stronger than ever, and this Green Plan sets a clear path toward a Net Zero future. Through collaboration, innovation, and decisive action, we are embedding environmental responsibility into everything we do – ensuring lasting benefits for our patients, staff, and community."</w:t>
      </w:r>
    </w:p>
    <w:p w14:paraId="0B40784C" w14:textId="231102DE" w:rsidR="00530CF1" w:rsidRPr="00B81922" w:rsidRDefault="00000000">
      <w:pPr>
        <w:rPr>
          <w:rFonts w:ascii="Arial" w:hAnsi="Arial" w:cs="Arial"/>
        </w:rPr>
      </w:pPr>
      <w:r w:rsidRPr="00B81922">
        <w:rPr>
          <w:rFonts w:ascii="Arial" w:hAnsi="Arial" w:cs="Arial"/>
        </w:rPr>
        <w:t>Environmental Officer</w:t>
      </w:r>
    </w:p>
    <w:p w14:paraId="7E8FF838" w14:textId="5EA7C9CD" w:rsidR="00530CF1" w:rsidRPr="00B81922" w:rsidRDefault="00000000">
      <w:pPr>
        <w:rPr>
          <w:rFonts w:ascii="Arial" w:hAnsi="Arial" w:cs="Arial"/>
        </w:rPr>
      </w:pPr>
      <w:r w:rsidRPr="00B81922">
        <w:rPr>
          <w:rFonts w:ascii="Arial" w:hAnsi="Arial" w:cs="Arial"/>
        </w:rPr>
        <w:t>“Sustainability is not just an aspiration; it is an essential pillar of our long-term vision. The Green Plan is more than a strategy – it’s a commitment to progress, resilience, and leadership in healthcare sustainability. By working together, we will turn ambition into impact, making our Trust a beacon of environmental responsibility.”</w:t>
      </w:r>
    </w:p>
    <w:p w14:paraId="259CDA38" w14:textId="65F59E6E" w:rsidR="00530CF1" w:rsidRDefault="00000000">
      <w:pPr>
        <w:rPr>
          <w:rFonts w:ascii="Arial" w:hAnsi="Arial" w:cs="Arial"/>
        </w:rPr>
      </w:pPr>
      <w:r w:rsidRPr="00B81922">
        <w:rPr>
          <w:rFonts w:ascii="Arial" w:hAnsi="Arial" w:cs="Arial"/>
        </w:rPr>
        <w:t>Project and Strategic Development Manager</w:t>
      </w:r>
    </w:p>
    <w:p w14:paraId="3565F311" w14:textId="77777777" w:rsidR="00B81922" w:rsidRPr="00B81922" w:rsidRDefault="00B81922">
      <w:pPr>
        <w:rPr>
          <w:rFonts w:ascii="Arial" w:hAnsi="Arial" w:cs="Arial"/>
        </w:rPr>
      </w:pPr>
    </w:p>
    <w:p w14:paraId="0EDFE8E3" w14:textId="1ACBBD73" w:rsidR="00530CF1" w:rsidRPr="00B81922" w:rsidRDefault="00000000" w:rsidP="005F312C">
      <w:pPr>
        <w:pStyle w:val="Heading1"/>
      </w:pPr>
      <w:proofErr w:type="spellStart"/>
      <w:r w:rsidRPr="00B81922">
        <w:t>Organisation</w:t>
      </w:r>
      <w:proofErr w:type="spellEnd"/>
    </w:p>
    <w:p w14:paraId="7E0F763A" w14:textId="152FB64D" w:rsidR="00530CF1" w:rsidRPr="00B81922" w:rsidRDefault="00000000">
      <w:pPr>
        <w:rPr>
          <w:rFonts w:ascii="Arial" w:hAnsi="Arial" w:cs="Arial"/>
        </w:rPr>
      </w:pPr>
      <w:r w:rsidRPr="00B81922">
        <w:rPr>
          <w:rFonts w:ascii="Arial" w:hAnsi="Arial" w:cs="Arial"/>
        </w:rPr>
        <w:t xml:space="preserve">About the Trust </w:t>
      </w:r>
    </w:p>
    <w:p w14:paraId="1A54CD2D" w14:textId="7FB4DBF5" w:rsidR="00530CF1" w:rsidRPr="00B81922" w:rsidRDefault="00000000">
      <w:pPr>
        <w:rPr>
          <w:rFonts w:ascii="Arial" w:hAnsi="Arial" w:cs="Arial"/>
        </w:rPr>
      </w:pPr>
      <w:r w:rsidRPr="00B81922">
        <w:rPr>
          <w:rFonts w:ascii="Arial" w:hAnsi="Arial" w:cs="Arial"/>
        </w:rPr>
        <w:t xml:space="preserve">The Trust are a leading provider of integrated healthcare services across Hull, the East Riding of Yorkshire, Whitby, Scarborough, and Ryedale. With a wide range of health and social care services delivered to a population of 765,000 people, of all ages, across an area of over 4,700 square </w:t>
      </w:r>
      <w:proofErr w:type="spellStart"/>
      <w:r w:rsidRPr="00B81922">
        <w:rPr>
          <w:rFonts w:ascii="Arial" w:hAnsi="Arial" w:cs="Arial"/>
        </w:rPr>
        <w:t>kilometres</w:t>
      </w:r>
      <w:proofErr w:type="spellEnd"/>
      <w:r w:rsidRPr="00B81922">
        <w:rPr>
          <w:rFonts w:ascii="Arial" w:hAnsi="Arial" w:cs="Arial"/>
        </w:rPr>
        <w:t xml:space="preserve">. </w:t>
      </w:r>
    </w:p>
    <w:p w14:paraId="424FE4C1" w14:textId="77777777" w:rsidR="00530CF1" w:rsidRPr="00B81922" w:rsidRDefault="00000000">
      <w:pPr>
        <w:rPr>
          <w:rFonts w:ascii="Arial" w:hAnsi="Arial" w:cs="Arial"/>
        </w:rPr>
      </w:pPr>
      <w:r w:rsidRPr="00B81922">
        <w:rPr>
          <w:rFonts w:ascii="Arial" w:hAnsi="Arial" w:cs="Arial"/>
        </w:rPr>
        <w:t>As a Trust we:</w:t>
      </w:r>
    </w:p>
    <w:p w14:paraId="0E079CCE" w14:textId="77777777" w:rsidR="00530CF1" w:rsidRPr="00B81922" w:rsidRDefault="00000000">
      <w:pPr>
        <w:rPr>
          <w:rFonts w:ascii="Arial" w:hAnsi="Arial" w:cs="Arial"/>
        </w:rPr>
      </w:pPr>
      <w:r w:rsidRPr="00B81922">
        <w:rPr>
          <w:rFonts w:ascii="Arial" w:hAnsi="Arial" w:cs="Arial"/>
        </w:rPr>
        <w:t>Employ over 3,600 staff</w:t>
      </w:r>
    </w:p>
    <w:p w14:paraId="55173266" w14:textId="77777777" w:rsidR="00530CF1" w:rsidRPr="00B81922" w:rsidRDefault="00000000">
      <w:pPr>
        <w:rPr>
          <w:rFonts w:ascii="Arial" w:hAnsi="Arial" w:cs="Arial"/>
        </w:rPr>
      </w:pPr>
      <w:r w:rsidRPr="00B81922">
        <w:rPr>
          <w:rFonts w:ascii="Arial" w:hAnsi="Arial" w:cs="Arial"/>
        </w:rPr>
        <w:t>Operate in over 79 sites</w:t>
      </w:r>
    </w:p>
    <w:p w14:paraId="75F5494B" w14:textId="77777777" w:rsidR="00530CF1" w:rsidRPr="00B81922" w:rsidRDefault="00000000">
      <w:pPr>
        <w:rPr>
          <w:rFonts w:ascii="Arial" w:hAnsi="Arial" w:cs="Arial"/>
        </w:rPr>
      </w:pPr>
      <w:r w:rsidRPr="00B81922">
        <w:rPr>
          <w:rFonts w:ascii="Arial" w:hAnsi="Arial" w:cs="Arial"/>
        </w:rPr>
        <w:lastRenderedPageBreak/>
        <w:t>Cover the whole geography across Hull, East Riding of Yorkshire, Whitby, Scarborough, and Ryedale</w:t>
      </w:r>
    </w:p>
    <w:p w14:paraId="5E09C512" w14:textId="77777777" w:rsidR="00530CF1" w:rsidRPr="00B81922" w:rsidRDefault="00000000">
      <w:pPr>
        <w:rPr>
          <w:rFonts w:ascii="Arial" w:hAnsi="Arial" w:cs="Arial"/>
        </w:rPr>
      </w:pPr>
      <w:r w:rsidRPr="00B81922">
        <w:rPr>
          <w:rFonts w:ascii="Arial" w:hAnsi="Arial" w:cs="Arial"/>
        </w:rPr>
        <w:t>Have approximately 8,000 Public members, which are represented by 22 governors (made up of public, service users and carer governors, nominated and staff governors).</w:t>
      </w:r>
    </w:p>
    <w:p w14:paraId="37DA2313" w14:textId="77777777" w:rsidR="00530CF1" w:rsidRPr="00B81922" w:rsidRDefault="00000000">
      <w:pPr>
        <w:rPr>
          <w:rFonts w:ascii="Arial" w:hAnsi="Arial" w:cs="Arial"/>
        </w:rPr>
      </w:pPr>
      <w:r w:rsidRPr="00B81922">
        <w:rPr>
          <w:rFonts w:ascii="Arial" w:hAnsi="Arial" w:cs="Arial"/>
        </w:rPr>
        <w:t xml:space="preserve">120+Volunteers covering the Trust </w:t>
      </w:r>
    </w:p>
    <w:p w14:paraId="450CAAB9" w14:textId="586737F8" w:rsidR="00530CF1" w:rsidRPr="00B81922" w:rsidRDefault="00000000">
      <w:pPr>
        <w:rPr>
          <w:rFonts w:ascii="Arial" w:hAnsi="Arial" w:cs="Arial"/>
        </w:rPr>
      </w:pPr>
      <w:r w:rsidRPr="00B81922">
        <w:rPr>
          <w:rFonts w:ascii="Arial" w:hAnsi="Arial" w:cs="Arial"/>
        </w:rPr>
        <w:t>Hold four GP practices</w:t>
      </w:r>
    </w:p>
    <w:p w14:paraId="679841EE" w14:textId="0ADB0993" w:rsidR="00530CF1" w:rsidRPr="00B81922" w:rsidRDefault="00000000">
      <w:pPr>
        <w:rPr>
          <w:rFonts w:ascii="Arial" w:hAnsi="Arial" w:cs="Arial"/>
        </w:rPr>
      </w:pPr>
      <w:r w:rsidRPr="00B81922">
        <w:rPr>
          <w:rFonts w:ascii="Arial" w:hAnsi="Arial" w:cs="Arial"/>
        </w:rPr>
        <w:t xml:space="preserve">The services cover a wide-ranging geographic area across the ICS, as well as nationally commissioned services. </w:t>
      </w:r>
    </w:p>
    <w:p w14:paraId="572640B2" w14:textId="77777777" w:rsidR="00530CF1" w:rsidRPr="00B81922" w:rsidRDefault="00000000">
      <w:pPr>
        <w:rPr>
          <w:rFonts w:ascii="Arial" w:hAnsi="Arial" w:cs="Arial"/>
        </w:rPr>
      </w:pPr>
      <w:r w:rsidRPr="00B81922">
        <w:rPr>
          <w:rFonts w:ascii="Arial" w:hAnsi="Arial" w:cs="Arial"/>
        </w:rPr>
        <w:t xml:space="preserve">Operational services are grouped into four divisions: </w:t>
      </w:r>
    </w:p>
    <w:p w14:paraId="718CC274" w14:textId="77777777" w:rsidR="00530CF1" w:rsidRPr="00B81922" w:rsidRDefault="00000000">
      <w:pPr>
        <w:rPr>
          <w:rFonts w:ascii="Arial" w:hAnsi="Arial" w:cs="Arial"/>
        </w:rPr>
      </w:pPr>
      <w:r w:rsidRPr="00B81922">
        <w:rPr>
          <w:rFonts w:ascii="Arial" w:hAnsi="Arial" w:cs="Arial"/>
        </w:rPr>
        <w:t xml:space="preserve">Community &amp; Primary Care </w:t>
      </w:r>
    </w:p>
    <w:p w14:paraId="400CDB85" w14:textId="77777777" w:rsidR="00530CF1" w:rsidRPr="00B81922" w:rsidRDefault="00000000">
      <w:pPr>
        <w:rPr>
          <w:rFonts w:ascii="Arial" w:hAnsi="Arial" w:cs="Arial"/>
        </w:rPr>
      </w:pPr>
      <w:r w:rsidRPr="00B81922">
        <w:rPr>
          <w:rFonts w:ascii="Arial" w:hAnsi="Arial" w:cs="Arial"/>
        </w:rPr>
        <w:t xml:space="preserve">Children’s &amp; Learning Disabilities </w:t>
      </w:r>
    </w:p>
    <w:p w14:paraId="484E4F10" w14:textId="77777777" w:rsidR="00530CF1" w:rsidRPr="00B81922" w:rsidRDefault="00000000">
      <w:pPr>
        <w:rPr>
          <w:rFonts w:ascii="Arial" w:hAnsi="Arial" w:cs="Arial"/>
        </w:rPr>
      </w:pPr>
      <w:r w:rsidRPr="00B81922">
        <w:rPr>
          <w:rFonts w:ascii="Arial" w:hAnsi="Arial" w:cs="Arial"/>
        </w:rPr>
        <w:t>Forensic Services</w:t>
      </w:r>
    </w:p>
    <w:p w14:paraId="3AD2D717" w14:textId="100B1623" w:rsidR="00530CF1" w:rsidRPr="00B81922" w:rsidRDefault="00000000">
      <w:pPr>
        <w:rPr>
          <w:rFonts w:ascii="Arial" w:hAnsi="Arial" w:cs="Arial"/>
        </w:rPr>
      </w:pPr>
      <w:r w:rsidRPr="00B81922">
        <w:rPr>
          <w:rFonts w:ascii="Arial" w:hAnsi="Arial" w:cs="Arial"/>
        </w:rPr>
        <w:t>Mental Health</w:t>
      </w:r>
    </w:p>
    <w:p w14:paraId="1A829260" w14:textId="145CE601" w:rsidR="00530CF1" w:rsidRPr="00B81922" w:rsidRDefault="00000000">
      <w:pPr>
        <w:rPr>
          <w:rFonts w:ascii="Arial" w:hAnsi="Arial" w:cs="Arial"/>
        </w:rPr>
      </w:pPr>
      <w:r w:rsidRPr="00B81922">
        <w:rPr>
          <w:rFonts w:ascii="Arial" w:hAnsi="Arial" w:cs="Arial"/>
        </w:rPr>
        <w:t xml:space="preserve">Care is delivered in a variety of settings. This includes within patients own homes, GP practices and health </w:t>
      </w:r>
      <w:proofErr w:type="spellStart"/>
      <w:r w:rsidRPr="00B81922">
        <w:rPr>
          <w:rFonts w:ascii="Arial" w:hAnsi="Arial" w:cs="Arial"/>
        </w:rPr>
        <w:t>centres</w:t>
      </w:r>
      <w:proofErr w:type="spellEnd"/>
      <w:r w:rsidRPr="00B81922">
        <w:rPr>
          <w:rFonts w:ascii="Arial" w:hAnsi="Arial" w:cs="Arial"/>
        </w:rPr>
        <w:t>, outpatient clinics, hospitals, local authority premises and our inpatient units. In addition to health and care services, we also provide medical teaching to undergraduates of the Hull York Medical School.</w:t>
      </w:r>
    </w:p>
    <w:p w14:paraId="209D4AAD" w14:textId="04480F38" w:rsidR="00530CF1" w:rsidRPr="00B81922" w:rsidRDefault="00000000">
      <w:pPr>
        <w:rPr>
          <w:rFonts w:ascii="Arial" w:hAnsi="Arial" w:cs="Arial"/>
        </w:rPr>
      </w:pPr>
      <w:r w:rsidRPr="00B81922">
        <w:rPr>
          <w:rFonts w:ascii="Arial" w:hAnsi="Arial" w:cs="Arial"/>
        </w:rPr>
        <w:t xml:space="preserve">Trust sustainable objectives </w:t>
      </w:r>
    </w:p>
    <w:p w14:paraId="26F6A553" w14:textId="4AF06B10" w:rsidR="00530CF1" w:rsidRPr="00B81922" w:rsidRDefault="00000000">
      <w:pPr>
        <w:rPr>
          <w:rFonts w:ascii="Arial" w:hAnsi="Arial" w:cs="Arial"/>
        </w:rPr>
      </w:pPr>
      <w:r w:rsidRPr="00B81922">
        <w:rPr>
          <w:rFonts w:ascii="Arial" w:hAnsi="Arial" w:cs="Arial"/>
        </w:rPr>
        <w:t>The Trust’s Green Plan sets out the key work streams and has plans in place to meet the required reduction in carbon emissions and to make progress in delivering a more sustainable provision of healthcare services. </w:t>
      </w:r>
    </w:p>
    <w:p w14:paraId="5F312004" w14:textId="77777777" w:rsidR="00530CF1" w:rsidRPr="00B81922" w:rsidRDefault="00000000">
      <w:pPr>
        <w:rPr>
          <w:rFonts w:ascii="Arial" w:hAnsi="Arial" w:cs="Arial"/>
        </w:rPr>
      </w:pPr>
      <w:r w:rsidRPr="00B81922">
        <w:rPr>
          <w:rFonts w:ascii="Arial" w:hAnsi="Arial" w:cs="Arial"/>
        </w:rPr>
        <w:t>The Trust will: </w:t>
      </w:r>
    </w:p>
    <w:p w14:paraId="7AA62280" w14:textId="77777777" w:rsidR="00530CF1" w:rsidRPr="00B81922" w:rsidRDefault="00000000">
      <w:pPr>
        <w:rPr>
          <w:rFonts w:ascii="Arial" w:hAnsi="Arial" w:cs="Arial"/>
        </w:rPr>
      </w:pPr>
      <w:r w:rsidRPr="00B81922">
        <w:rPr>
          <w:rFonts w:ascii="Arial" w:hAnsi="Arial" w:cs="Arial"/>
        </w:rPr>
        <w:t>• Aim to achieve Net Zero by 2035.</w:t>
      </w:r>
    </w:p>
    <w:p w14:paraId="52867BAA" w14:textId="77777777" w:rsidR="00530CF1" w:rsidRPr="00B81922" w:rsidRDefault="00000000">
      <w:pPr>
        <w:rPr>
          <w:rFonts w:ascii="Arial" w:hAnsi="Arial" w:cs="Arial"/>
        </w:rPr>
      </w:pPr>
      <w:r w:rsidRPr="00B81922">
        <w:rPr>
          <w:rFonts w:ascii="Arial" w:hAnsi="Arial" w:cs="Arial"/>
        </w:rPr>
        <w:t>• Ensure compliance with all relevant legislation.</w:t>
      </w:r>
    </w:p>
    <w:p w14:paraId="0C4309A5" w14:textId="77777777" w:rsidR="00530CF1" w:rsidRPr="00B81922" w:rsidRDefault="00000000">
      <w:pPr>
        <w:rPr>
          <w:rFonts w:ascii="Arial" w:hAnsi="Arial" w:cs="Arial"/>
        </w:rPr>
      </w:pPr>
      <w:r w:rsidRPr="00B81922">
        <w:rPr>
          <w:rFonts w:ascii="Arial" w:hAnsi="Arial" w:cs="Arial"/>
        </w:rPr>
        <w:t xml:space="preserve">• Reflect climate change on the </w:t>
      </w:r>
      <w:proofErr w:type="spellStart"/>
      <w:r w:rsidRPr="00B81922">
        <w:rPr>
          <w:rFonts w:ascii="Arial" w:hAnsi="Arial" w:cs="Arial"/>
        </w:rPr>
        <w:t>organisation’s</w:t>
      </w:r>
      <w:proofErr w:type="spellEnd"/>
      <w:r w:rsidRPr="00B81922">
        <w:rPr>
          <w:rFonts w:ascii="Arial" w:hAnsi="Arial" w:cs="Arial"/>
        </w:rPr>
        <w:t xml:space="preserve"> risk register, financial risk, and in the Board Assurance Framework.</w:t>
      </w:r>
    </w:p>
    <w:p w14:paraId="02D5AD1A" w14:textId="77777777" w:rsidR="00530CF1" w:rsidRPr="00B81922" w:rsidRDefault="00000000">
      <w:pPr>
        <w:rPr>
          <w:rFonts w:ascii="Arial" w:hAnsi="Arial" w:cs="Arial"/>
        </w:rPr>
      </w:pPr>
      <w:r w:rsidRPr="00B81922">
        <w:rPr>
          <w:rFonts w:ascii="Arial" w:hAnsi="Arial" w:cs="Arial"/>
        </w:rPr>
        <w:t>• Continue to develop and implement carbon reduction plans, that target major components of carbon emissions in the NHS. This includes direct energy consumption, procurement, transport (inc. business, commuting and patient transport), food and waste.</w:t>
      </w:r>
    </w:p>
    <w:p w14:paraId="5A5E6DB9" w14:textId="77777777" w:rsidR="00530CF1" w:rsidRPr="00B81922" w:rsidRDefault="00000000">
      <w:pPr>
        <w:rPr>
          <w:rFonts w:ascii="Arial" w:hAnsi="Arial" w:cs="Arial"/>
        </w:rPr>
      </w:pPr>
      <w:r w:rsidRPr="00B81922">
        <w:rPr>
          <w:rFonts w:ascii="Arial" w:hAnsi="Arial" w:cs="Arial"/>
        </w:rPr>
        <w:t>• Work in partnership with members of the Humber &amp; North Yorkshire Green Plan Delivery Group.</w:t>
      </w:r>
    </w:p>
    <w:p w14:paraId="73A443A6" w14:textId="77777777" w:rsidR="00530CF1" w:rsidRPr="00B81922" w:rsidRDefault="00000000">
      <w:pPr>
        <w:rPr>
          <w:rFonts w:ascii="Arial" w:hAnsi="Arial" w:cs="Arial"/>
        </w:rPr>
      </w:pPr>
      <w:r w:rsidRPr="00B81922">
        <w:rPr>
          <w:rFonts w:ascii="Arial" w:hAnsi="Arial" w:cs="Arial"/>
        </w:rPr>
        <w:lastRenderedPageBreak/>
        <w:t>• Develop a Green Plan communication strategy, that engages staff, patients and carers, visitors, Trust members and the communities we serve.</w:t>
      </w:r>
    </w:p>
    <w:p w14:paraId="7FC4284B" w14:textId="77777777" w:rsidR="00530CF1" w:rsidRPr="00B81922" w:rsidRDefault="00000000">
      <w:pPr>
        <w:rPr>
          <w:rFonts w:ascii="Arial" w:hAnsi="Arial" w:cs="Arial"/>
        </w:rPr>
      </w:pPr>
      <w:r w:rsidRPr="00B81922">
        <w:rPr>
          <w:rFonts w:ascii="Arial" w:hAnsi="Arial" w:cs="Arial"/>
        </w:rPr>
        <w:t>• Continue to improve Scope 3 monitoring</w:t>
      </w:r>
    </w:p>
    <w:p w14:paraId="1E7D3807" w14:textId="77777777" w:rsidR="00B81922" w:rsidRDefault="00B81922">
      <w:pPr>
        <w:rPr>
          <w:rFonts w:ascii="Arial" w:hAnsi="Arial" w:cs="Arial"/>
        </w:rPr>
      </w:pPr>
    </w:p>
    <w:p w14:paraId="6FD68FD0" w14:textId="44DB22E2" w:rsidR="00530CF1" w:rsidRPr="00B81922" w:rsidRDefault="00000000" w:rsidP="005F312C">
      <w:pPr>
        <w:pStyle w:val="Heading1"/>
      </w:pPr>
      <w:r w:rsidRPr="00B81922">
        <w:t>Trust Strategy on a page</w:t>
      </w:r>
    </w:p>
    <w:p w14:paraId="6ECC8BF4" w14:textId="25D616BD" w:rsidR="00530CF1" w:rsidRPr="00B81922" w:rsidRDefault="00000000">
      <w:pPr>
        <w:rPr>
          <w:rFonts w:ascii="Arial" w:hAnsi="Arial" w:cs="Arial"/>
        </w:rPr>
      </w:pPr>
      <w:r w:rsidRPr="00B81922">
        <w:rPr>
          <w:rFonts w:ascii="Arial" w:hAnsi="Arial" w:cs="Arial"/>
        </w:rPr>
        <w:t>Our Trust Mission: We are a multi-specialty health and social care teaching provider committed to Caring, Learning and Growing.</w:t>
      </w:r>
    </w:p>
    <w:p w14:paraId="0AE3E488" w14:textId="213313F3" w:rsidR="00530CF1" w:rsidRPr="00B81922" w:rsidRDefault="00000000">
      <w:pPr>
        <w:rPr>
          <w:rFonts w:ascii="Arial" w:hAnsi="Arial" w:cs="Arial"/>
        </w:rPr>
      </w:pPr>
      <w:r w:rsidRPr="00B81922">
        <w:rPr>
          <w:rFonts w:ascii="Arial" w:hAnsi="Arial" w:cs="Arial"/>
        </w:rPr>
        <w:t xml:space="preserve">Our Trust Vision: We aim to be a leading provider of integrated health services, </w:t>
      </w:r>
      <w:proofErr w:type="spellStart"/>
      <w:r w:rsidRPr="00B81922">
        <w:rPr>
          <w:rFonts w:ascii="Arial" w:hAnsi="Arial" w:cs="Arial"/>
        </w:rPr>
        <w:t>recognised</w:t>
      </w:r>
      <w:proofErr w:type="spellEnd"/>
      <w:r w:rsidRPr="00B81922">
        <w:rPr>
          <w:rFonts w:ascii="Arial" w:hAnsi="Arial" w:cs="Arial"/>
        </w:rPr>
        <w:t xml:space="preserve"> for the care compassion and commitment of our staff and known as a great employer and a valued partner.</w:t>
      </w:r>
    </w:p>
    <w:p w14:paraId="47309A7D" w14:textId="3F910919" w:rsidR="00530CF1" w:rsidRPr="00B81922" w:rsidRDefault="00000000">
      <w:pPr>
        <w:rPr>
          <w:rFonts w:ascii="Arial" w:hAnsi="Arial" w:cs="Arial"/>
        </w:rPr>
      </w:pPr>
      <w:r w:rsidRPr="00B81922">
        <w:rPr>
          <w:rFonts w:ascii="Arial" w:hAnsi="Arial" w:cs="Arial"/>
        </w:rPr>
        <w:t xml:space="preserve">Our Trust Values: Our internal values shape our </w:t>
      </w:r>
      <w:proofErr w:type="spellStart"/>
      <w:r w:rsidRPr="00B81922">
        <w:rPr>
          <w:rFonts w:ascii="Arial" w:hAnsi="Arial" w:cs="Arial"/>
        </w:rPr>
        <w:t>behaviours</w:t>
      </w:r>
      <w:proofErr w:type="spellEnd"/>
      <w:r w:rsidRPr="00B81922">
        <w:rPr>
          <w:rFonts w:ascii="Arial" w:hAnsi="Arial" w:cs="Arial"/>
        </w:rPr>
        <w:t xml:space="preserve"> and guide the way we work with our patients, staff, partners, within our community and with each other. </w:t>
      </w:r>
    </w:p>
    <w:p w14:paraId="2EA3909E" w14:textId="77777777" w:rsidR="00530CF1" w:rsidRPr="00B81922" w:rsidRDefault="00000000">
      <w:pPr>
        <w:rPr>
          <w:rFonts w:ascii="Arial" w:hAnsi="Arial" w:cs="Arial"/>
        </w:rPr>
      </w:pPr>
      <w:r w:rsidRPr="00B81922">
        <w:rPr>
          <w:rFonts w:ascii="Arial" w:hAnsi="Arial" w:cs="Arial"/>
        </w:rPr>
        <w:t>• Caring for people while ensuring that they are always at the heart of everything we do.</w:t>
      </w:r>
    </w:p>
    <w:p w14:paraId="53EFC3C1" w14:textId="77777777" w:rsidR="00530CF1" w:rsidRPr="00B81922" w:rsidRDefault="00000000">
      <w:pPr>
        <w:rPr>
          <w:rFonts w:ascii="Arial" w:hAnsi="Arial" w:cs="Arial"/>
        </w:rPr>
      </w:pPr>
      <w:r w:rsidRPr="00B81922">
        <w:rPr>
          <w:rFonts w:ascii="Arial" w:hAnsi="Arial" w:cs="Arial"/>
        </w:rPr>
        <w:t>• Learning and using proven research as a basis for delivering safe, effective and integrated care.</w:t>
      </w:r>
    </w:p>
    <w:p w14:paraId="170C0933" w14:textId="3A16EA49" w:rsidR="00530CF1" w:rsidRPr="00B81922" w:rsidRDefault="00000000">
      <w:pPr>
        <w:rPr>
          <w:rFonts w:ascii="Arial" w:hAnsi="Arial" w:cs="Arial"/>
        </w:rPr>
      </w:pPr>
      <w:r w:rsidRPr="00B81922">
        <w:rPr>
          <w:rFonts w:ascii="Arial" w:hAnsi="Arial" w:cs="Arial"/>
        </w:rPr>
        <w:t>• Growing our reputation for being a provider of high-quality services and a great place to work.</w:t>
      </w:r>
    </w:p>
    <w:p w14:paraId="2981D690" w14:textId="1C26C312" w:rsidR="00530CF1" w:rsidRPr="00257247" w:rsidRDefault="00000000" w:rsidP="005F312C">
      <w:pPr>
        <w:pStyle w:val="Heading2"/>
        <w:rPr>
          <w:color w:val="365F91" w:themeColor="accent1" w:themeShade="BF"/>
        </w:rPr>
      </w:pPr>
      <w:r w:rsidRPr="00257247">
        <w:rPr>
          <w:color w:val="365F91" w:themeColor="accent1" w:themeShade="BF"/>
        </w:rPr>
        <w:t xml:space="preserve">How we will deliver our strategy </w:t>
      </w:r>
    </w:p>
    <w:p w14:paraId="2ABE750C" w14:textId="5E5647AD" w:rsidR="00530CF1" w:rsidRPr="00B81922" w:rsidRDefault="00000000">
      <w:pPr>
        <w:rPr>
          <w:rFonts w:ascii="Arial" w:hAnsi="Arial" w:cs="Arial"/>
        </w:rPr>
      </w:pPr>
      <w:r w:rsidRPr="00B81922">
        <w:rPr>
          <w:rFonts w:ascii="Arial" w:hAnsi="Arial" w:cs="Arial"/>
        </w:rPr>
        <w:t xml:space="preserve">Our strategy describes our overarching long-term goals for Humber and explains in broad terms how we will achieve them. </w:t>
      </w:r>
    </w:p>
    <w:p w14:paraId="0E5B163A" w14:textId="2F089B47" w:rsidR="00530CF1" w:rsidRPr="00B81922" w:rsidRDefault="00000000">
      <w:pPr>
        <w:rPr>
          <w:rFonts w:ascii="Arial" w:hAnsi="Arial" w:cs="Arial"/>
        </w:rPr>
      </w:pPr>
      <w:r w:rsidRPr="00B81922">
        <w:rPr>
          <w:rFonts w:ascii="Arial" w:hAnsi="Arial" w:cs="Arial"/>
        </w:rPr>
        <w:t>The detail of how Humber will make this vision a reality is set out in a series of enabling strategies covering People, Estates, Digital, Patient and Carer Experience and our Clinical Strategy.</w:t>
      </w:r>
    </w:p>
    <w:p w14:paraId="0DAF6477" w14:textId="7839CE0D" w:rsidR="00530CF1" w:rsidRPr="00B81922" w:rsidRDefault="00000000">
      <w:pPr>
        <w:rPr>
          <w:rFonts w:ascii="Arial" w:hAnsi="Arial" w:cs="Arial"/>
        </w:rPr>
      </w:pPr>
      <w:r w:rsidRPr="00B81922">
        <w:rPr>
          <w:rFonts w:ascii="Arial" w:hAnsi="Arial" w:cs="Arial"/>
        </w:rPr>
        <w:t xml:space="preserve">In addition, each of our divisions produce operational service plans each year which translate our strategic goals into direct actions which benefit staff and patients within each service area. </w:t>
      </w:r>
    </w:p>
    <w:p w14:paraId="1CADE70C" w14:textId="77777777" w:rsidR="00530CF1" w:rsidRPr="00B81922" w:rsidRDefault="00000000">
      <w:pPr>
        <w:rPr>
          <w:rFonts w:ascii="Arial" w:hAnsi="Arial" w:cs="Arial"/>
        </w:rPr>
      </w:pPr>
      <w:r w:rsidRPr="00B81922">
        <w:rPr>
          <w:rFonts w:ascii="Arial" w:hAnsi="Arial" w:cs="Arial"/>
        </w:rPr>
        <w:t xml:space="preserve">The </w:t>
      </w:r>
      <w:proofErr w:type="spellStart"/>
      <w:r w:rsidRPr="00B81922">
        <w:rPr>
          <w:rFonts w:ascii="Arial" w:hAnsi="Arial" w:cs="Arial"/>
        </w:rPr>
        <w:t>organisation</w:t>
      </w:r>
      <w:proofErr w:type="spellEnd"/>
      <w:r w:rsidRPr="00B81922">
        <w:rPr>
          <w:rFonts w:ascii="Arial" w:hAnsi="Arial" w:cs="Arial"/>
        </w:rPr>
        <w:t xml:space="preserve"> has developed a detailed set of measurements and ambitions which sit alongside this document, which will be used to monitor the progress we are making towards achieving our strategic goals. This will be updated throughout the five-year lifespan of the strategy.</w:t>
      </w:r>
    </w:p>
    <w:p w14:paraId="5C488CE6" w14:textId="77777777" w:rsidR="00530CF1" w:rsidRPr="00B81922" w:rsidRDefault="00530CF1">
      <w:pPr>
        <w:rPr>
          <w:rFonts w:ascii="Arial" w:hAnsi="Arial" w:cs="Arial"/>
        </w:rPr>
      </w:pPr>
    </w:p>
    <w:p w14:paraId="79E66A63" w14:textId="5CA2D211" w:rsidR="00530CF1" w:rsidRPr="00B81922" w:rsidRDefault="00000000" w:rsidP="005F312C">
      <w:pPr>
        <w:pStyle w:val="Heading1"/>
      </w:pPr>
      <w:r w:rsidRPr="00B81922">
        <w:lastRenderedPageBreak/>
        <w:t>Carbon emissions and greenhouse gases</w:t>
      </w:r>
    </w:p>
    <w:p w14:paraId="7B593B3C" w14:textId="6D61AE10" w:rsidR="00530CF1" w:rsidRPr="00257247" w:rsidRDefault="00000000" w:rsidP="005F312C">
      <w:pPr>
        <w:pStyle w:val="Heading2"/>
        <w:rPr>
          <w:color w:val="365F91" w:themeColor="accent1" w:themeShade="BF"/>
        </w:rPr>
      </w:pPr>
      <w:r w:rsidRPr="00257247">
        <w:rPr>
          <w:color w:val="365F91" w:themeColor="accent1" w:themeShade="BF"/>
        </w:rPr>
        <w:t>NHS Net Zero targets</w:t>
      </w:r>
    </w:p>
    <w:p w14:paraId="29425AA5" w14:textId="77777777" w:rsidR="00530CF1" w:rsidRPr="00B81922" w:rsidRDefault="00000000">
      <w:pPr>
        <w:rPr>
          <w:rFonts w:ascii="Arial" w:hAnsi="Arial" w:cs="Arial"/>
        </w:rPr>
      </w:pPr>
      <w:r w:rsidRPr="00B81922">
        <w:rPr>
          <w:rFonts w:ascii="Arial" w:hAnsi="Arial" w:cs="Arial"/>
        </w:rPr>
        <w:t>NHS England has set the ambition to be the world’s first Net Zero national health service; and have set the following two targets:</w:t>
      </w:r>
    </w:p>
    <w:p w14:paraId="719C2A81" w14:textId="77777777" w:rsidR="00530CF1" w:rsidRPr="00B81922" w:rsidRDefault="00000000">
      <w:pPr>
        <w:rPr>
          <w:rFonts w:ascii="Arial" w:hAnsi="Arial" w:cs="Arial"/>
        </w:rPr>
      </w:pPr>
      <w:r w:rsidRPr="00B81922">
        <w:rPr>
          <w:rFonts w:ascii="Arial" w:hAnsi="Arial" w:cs="Arial"/>
        </w:rPr>
        <w:t xml:space="preserve">• For the emissions we control directly (the NHS Carbon Footprint), we will reach Net Zero by 2040, with an ambition to reach an 80% reduction by 2028 to </w:t>
      </w:r>
      <w:proofErr w:type="gramStart"/>
      <w:r w:rsidRPr="00B81922">
        <w:rPr>
          <w:rFonts w:ascii="Arial" w:hAnsi="Arial" w:cs="Arial"/>
        </w:rPr>
        <w:t>2032;</w:t>
      </w:r>
      <w:proofErr w:type="gramEnd"/>
    </w:p>
    <w:p w14:paraId="15256EDB" w14:textId="575F9E7D" w:rsidR="00530CF1" w:rsidRPr="00B81922" w:rsidRDefault="00000000">
      <w:pPr>
        <w:rPr>
          <w:rFonts w:ascii="Arial" w:hAnsi="Arial" w:cs="Arial"/>
        </w:rPr>
      </w:pPr>
      <w:r w:rsidRPr="00B81922">
        <w:rPr>
          <w:rFonts w:ascii="Arial" w:hAnsi="Arial" w:cs="Arial"/>
        </w:rPr>
        <w:t>• For emissions we can influence (our NHS Carbon Footprint Plus), we will reach Net Zero by 2045, with an ambition to reach an 80% reduction by 2036 to 2039).</w:t>
      </w:r>
    </w:p>
    <w:p w14:paraId="0DD75873" w14:textId="0A4FF2DC" w:rsidR="00530CF1" w:rsidRPr="00257247" w:rsidRDefault="00000000" w:rsidP="005F312C">
      <w:pPr>
        <w:pStyle w:val="Heading2"/>
        <w:rPr>
          <w:color w:val="365F91" w:themeColor="accent1" w:themeShade="BF"/>
        </w:rPr>
      </w:pPr>
      <w:r w:rsidRPr="00257247">
        <w:rPr>
          <w:color w:val="365F91" w:themeColor="accent1" w:themeShade="BF"/>
        </w:rPr>
        <w:t>Trust journey to date</w:t>
      </w:r>
    </w:p>
    <w:p w14:paraId="6970CF4A" w14:textId="3824A668" w:rsidR="00530CF1" w:rsidRPr="00B81922" w:rsidRDefault="00000000">
      <w:pPr>
        <w:rPr>
          <w:rFonts w:ascii="Arial" w:hAnsi="Arial" w:cs="Arial"/>
        </w:rPr>
      </w:pPr>
      <w:r w:rsidRPr="00B81922">
        <w:rPr>
          <w:rFonts w:ascii="Arial" w:hAnsi="Arial" w:cs="Arial"/>
        </w:rPr>
        <w:t xml:space="preserve">At the outset of its Green Plan journey, the Trust established a baseline carbon footprint of 19,262 </w:t>
      </w:r>
      <w:proofErr w:type="spellStart"/>
      <w:r w:rsidRPr="00B81922">
        <w:rPr>
          <w:rFonts w:ascii="Arial" w:hAnsi="Arial" w:cs="Arial"/>
        </w:rPr>
        <w:t>tonnes</w:t>
      </w:r>
      <w:proofErr w:type="spellEnd"/>
      <w:r w:rsidRPr="00B81922">
        <w:rPr>
          <w:rFonts w:ascii="Arial" w:hAnsi="Arial" w:cs="Arial"/>
        </w:rPr>
        <w:t xml:space="preserve"> of CO2 equivalent (T/CO2e) for the financial year 2021/22. </w:t>
      </w:r>
      <w:proofErr w:type="gramStart"/>
      <w:r w:rsidRPr="00B81922">
        <w:rPr>
          <w:rFonts w:ascii="Arial" w:hAnsi="Arial" w:cs="Arial"/>
        </w:rPr>
        <w:t>In order to</w:t>
      </w:r>
      <w:proofErr w:type="gramEnd"/>
      <w:r w:rsidRPr="00B81922">
        <w:rPr>
          <w:rFonts w:ascii="Arial" w:hAnsi="Arial" w:cs="Arial"/>
        </w:rPr>
        <w:t xml:space="preserve"> meet its Net Zero ambition by 2035, the Trust identified the need for an annual emissions reduction of 7.14%.</w:t>
      </w:r>
    </w:p>
    <w:p w14:paraId="08CE291C" w14:textId="7110BE5E" w:rsidR="00530CF1" w:rsidRPr="00B81922" w:rsidRDefault="00000000">
      <w:pPr>
        <w:rPr>
          <w:rFonts w:ascii="Arial" w:hAnsi="Arial" w:cs="Arial"/>
        </w:rPr>
      </w:pPr>
      <w:r w:rsidRPr="00B81922">
        <w:rPr>
          <w:rFonts w:ascii="Arial" w:hAnsi="Arial" w:cs="Arial"/>
        </w:rPr>
        <w:t>By the end of the 2023/24 financial year, the Trust had successfully achieved a 31.43% reduction in emissions compared to the baseline – more than double the initial target of 14.28% for that period. As a result, a revised emissions baseline of 13,208.90 T/CO2e has been established for the 2025–2028 Green Plan period, alongside a recalculated annual reduction target of 5.7%.</w:t>
      </w:r>
    </w:p>
    <w:p w14:paraId="266FFF3B" w14:textId="2A640D24" w:rsidR="00530CF1" w:rsidRPr="00257247" w:rsidRDefault="00000000" w:rsidP="005F312C">
      <w:pPr>
        <w:pStyle w:val="Heading2"/>
        <w:rPr>
          <w:color w:val="365F91" w:themeColor="accent1" w:themeShade="BF"/>
        </w:rPr>
      </w:pPr>
      <w:r w:rsidRPr="00257247">
        <w:rPr>
          <w:color w:val="365F91" w:themeColor="accent1" w:themeShade="BF"/>
        </w:rPr>
        <w:t>Next steps</w:t>
      </w:r>
    </w:p>
    <w:p w14:paraId="449C9F34" w14:textId="5B58F49E" w:rsidR="00530CF1" w:rsidRPr="00B81922" w:rsidRDefault="00000000">
      <w:pPr>
        <w:rPr>
          <w:rFonts w:ascii="Arial" w:hAnsi="Arial" w:cs="Arial"/>
        </w:rPr>
      </w:pPr>
      <w:r w:rsidRPr="00B81922">
        <w:rPr>
          <w:rFonts w:ascii="Arial" w:hAnsi="Arial" w:cs="Arial"/>
        </w:rPr>
        <w:t xml:space="preserve">The Trust will review its existing </w:t>
      </w:r>
      <w:proofErr w:type="spellStart"/>
      <w:r w:rsidRPr="00B81922">
        <w:rPr>
          <w:rFonts w:ascii="Arial" w:hAnsi="Arial" w:cs="Arial"/>
        </w:rPr>
        <w:t>decarbonisation</w:t>
      </w:r>
      <w:proofErr w:type="spellEnd"/>
      <w:r w:rsidRPr="00B81922">
        <w:rPr>
          <w:rFonts w:ascii="Arial" w:hAnsi="Arial" w:cs="Arial"/>
        </w:rPr>
        <w:t xml:space="preserve"> plans in alignment with the Estates Strategy to develop a targeted heat </w:t>
      </w:r>
      <w:proofErr w:type="spellStart"/>
      <w:r w:rsidRPr="00B81922">
        <w:rPr>
          <w:rFonts w:ascii="Arial" w:hAnsi="Arial" w:cs="Arial"/>
        </w:rPr>
        <w:t>decarbonisation</w:t>
      </w:r>
      <w:proofErr w:type="spellEnd"/>
      <w:r w:rsidRPr="00B81922">
        <w:rPr>
          <w:rFonts w:ascii="Arial" w:hAnsi="Arial" w:cs="Arial"/>
        </w:rPr>
        <w:t xml:space="preserve"> strategy, with a focus on reducing high-emission Scope 1 sources.</w:t>
      </w:r>
    </w:p>
    <w:p w14:paraId="212BBBD4" w14:textId="7EAD49BB" w:rsidR="00530CF1" w:rsidRPr="00B81922" w:rsidRDefault="00000000">
      <w:pPr>
        <w:rPr>
          <w:rFonts w:ascii="Arial" w:hAnsi="Arial" w:cs="Arial"/>
        </w:rPr>
      </w:pPr>
      <w:r w:rsidRPr="00B81922">
        <w:rPr>
          <w:rFonts w:ascii="Arial" w:hAnsi="Arial" w:cs="Arial"/>
        </w:rPr>
        <w:t>Continued investment will be made in fabric-first upgrades across the estate, particularly during major capital works, to enhance energy efficiency and long-term sustainability.</w:t>
      </w:r>
    </w:p>
    <w:p w14:paraId="6D1D42B6" w14:textId="58F28032" w:rsidR="00530CF1" w:rsidRPr="00B81922" w:rsidRDefault="00000000">
      <w:pPr>
        <w:rPr>
          <w:rFonts w:ascii="Arial" w:hAnsi="Arial" w:cs="Arial"/>
        </w:rPr>
      </w:pPr>
      <w:r w:rsidRPr="00B81922">
        <w:rPr>
          <w:rFonts w:ascii="Arial" w:hAnsi="Arial" w:cs="Arial"/>
        </w:rPr>
        <w:t>All new-build construction projects will be assessed to ensure alignment with the NHS Net Zero Building Standard, where feasible, and will be designed to achieve BREEAM Excellent certification.</w:t>
      </w:r>
    </w:p>
    <w:p w14:paraId="16952E6A" w14:textId="77777777" w:rsidR="00530CF1" w:rsidRPr="00B81922" w:rsidRDefault="00530CF1">
      <w:pPr>
        <w:rPr>
          <w:rFonts w:ascii="Arial" w:hAnsi="Arial" w:cs="Arial"/>
        </w:rPr>
      </w:pPr>
    </w:p>
    <w:p w14:paraId="64F1BB63" w14:textId="6A2CE257" w:rsidR="00530CF1" w:rsidRPr="00B81922" w:rsidRDefault="00000000" w:rsidP="005F312C">
      <w:pPr>
        <w:pStyle w:val="Heading1"/>
      </w:pPr>
      <w:r w:rsidRPr="00B81922">
        <w:t xml:space="preserve">Climate change: a </w:t>
      </w:r>
      <w:proofErr w:type="gramStart"/>
      <w:r w:rsidRPr="00B81922">
        <w:t>health based</w:t>
      </w:r>
      <w:proofErr w:type="gramEnd"/>
      <w:r w:rsidRPr="00B81922">
        <w:t xml:space="preserve"> analogy</w:t>
      </w:r>
    </w:p>
    <w:p w14:paraId="502B7E32" w14:textId="56F41E30" w:rsidR="00530CF1" w:rsidRPr="00B81922" w:rsidRDefault="00000000">
      <w:pPr>
        <w:rPr>
          <w:rFonts w:ascii="Arial" w:hAnsi="Arial" w:cs="Arial"/>
        </w:rPr>
      </w:pPr>
      <w:r w:rsidRPr="00B81922">
        <w:rPr>
          <w:rFonts w:ascii="Arial" w:hAnsi="Arial" w:cs="Arial"/>
        </w:rPr>
        <w:t>From a health perspective, climate change can be likened to a persistent and escalating fever in the human body. Just as a rise in body temperature is a physiological response to infection or imbalance, the Earth’s increasing temperature reflects a systemic response to environmental stress – primarily driven by human activity.</w:t>
      </w:r>
    </w:p>
    <w:p w14:paraId="057C2BBF" w14:textId="6E36F791" w:rsidR="00530CF1" w:rsidRPr="00B81922" w:rsidRDefault="00000000">
      <w:pPr>
        <w:rPr>
          <w:rFonts w:ascii="Arial" w:hAnsi="Arial" w:cs="Arial"/>
        </w:rPr>
      </w:pPr>
      <w:r w:rsidRPr="00B81922">
        <w:rPr>
          <w:rFonts w:ascii="Arial" w:hAnsi="Arial" w:cs="Arial"/>
        </w:rPr>
        <w:lastRenderedPageBreak/>
        <w:t>Temperature as a Warning Sign: A human fever typically indicates the immune system is responding to a threat. Similarly, the planet’s steady temperature rise – over 1°C above pre-industrial levels – acts as a global warning signal, highlighting the cumulative impact of greenhouse gas emissions, deforestation, and pollution.</w:t>
      </w:r>
    </w:p>
    <w:p w14:paraId="2CC16421" w14:textId="4DC4779A" w:rsidR="00530CF1" w:rsidRPr="00B81922" w:rsidRDefault="00000000">
      <w:pPr>
        <w:rPr>
          <w:rFonts w:ascii="Arial" w:hAnsi="Arial" w:cs="Arial"/>
        </w:rPr>
      </w:pPr>
      <w:r w:rsidRPr="00B81922">
        <w:rPr>
          <w:rFonts w:ascii="Arial" w:hAnsi="Arial" w:cs="Arial"/>
        </w:rPr>
        <w:t>Root Causes: Fevers result from biological infections; climate change results from atmospheric ‘pollutants’, particularly carbon dioxide and methane. These emissions function as chronic stressors, disrupting the Earth’s natural balance over time.</w:t>
      </w:r>
    </w:p>
    <w:p w14:paraId="17C7C3DA" w14:textId="052D2797" w:rsidR="00530CF1" w:rsidRPr="00B81922" w:rsidRDefault="00000000">
      <w:pPr>
        <w:rPr>
          <w:rFonts w:ascii="Arial" w:hAnsi="Arial" w:cs="Arial"/>
        </w:rPr>
      </w:pPr>
      <w:r w:rsidRPr="00B81922">
        <w:rPr>
          <w:rFonts w:ascii="Arial" w:hAnsi="Arial" w:cs="Arial"/>
        </w:rPr>
        <w:t>Systemic Impact: Just as a fever affects multiple organ systems in the body, climate change has far-reaching effects on planetary systems – altering weather patterns, accelerating sea-level rise, impacting food and water security, and contributing to the spread of infectious diseases.</w:t>
      </w:r>
    </w:p>
    <w:p w14:paraId="5A7058A3" w14:textId="30547AC3" w:rsidR="00530CF1" w:rsidRPr="00B81922" w:rsidRDefault="00000000">
      <w:pPr>
        <w:rPr>
          <w:rFonts w:ascii="Arial" w:hAnsi="Arial" w:cs="Arial"/>
        </w:rPr>
      </w:pPr>
      <w:r w:rsidRPr="00B81922">
        <w:rPr>
          <w:rFonts w:ascii="Arial" w:hAnsi="Arial" w:cs="Arial"/>
        </w:rPr>
        <w:t>Thresholds and Irreversibility: Sustained high fever in humans can lead to organ damage or failure. In a similar way, surpassing critical climate thresholds (e.g., 1.5°C to 2°C of warming) risks irreversible and catastrophic consequences for global ecosystems and human health.</w:t>
      </w:r>
    </w:p>
    <w:p w14:paraId="1E86E8C6" w14:textId="33F65971" w:rsidR="00530CF1" w:rsidRPr="00B81922" w:rsidRDefault="00000000">
      <w:pPr>
        <w:rPr>
          <w:rFonts w:ascii="Arial" w:hAnsi="Arial" w:cs="Arial"/>
        </w:rPr>
      </w:pPr>
      <w:r w:rsidRPr="00B81922">
        <w:rPr>
          <w:rFonts w:ascii="Arial" w:hAnsi="Arial" w:cs="Arial"/>
        </w:rPr>
        <w:t xml:space="preserve">Diagnosis and Response: In medicine, accurate diagnosis and timely intervention are essential. For the climate, the scientific consensus is </w:t>
      </w:r>
      <w:proofErr w:type="gramStart"/>
      <w:r w:rsidRPr="00B81922">
        <w:rPr>
          <w:rFonts w:ascii="Arial" w:hAnsi="Arial" w:cs="Arial"/>
        </w:rPr>
        <w:t>clear</w:t>
      </w:r>
      <w:proofErr w:type="gramEnd"/>
      <w:r w:rsidRPr="00B81922">
        <w:rPr>
          <w:rFonts w:ascii="Arial" w:hAnsi="Arial" w:cs="Arial"/>
        </w:rPr>
        <w:t xml:space="preserve"> and the remedies well understood reduce emissions, shift to renewable energy sources, restore natural systems, and build climate-resilient infrastructure.</w:t>
      </w:r>
    </w:p>
    <w:p w14:paraId="6E5600DD" w14:textId="0CD20C49" w:rsidR="00530CF1" w:rsidRPr="00B81922" w:rsidRDefault="00000000">
      <w:pPr>
        <w:rPr>
          <w:rFonts w:ascii="Arial" w:hAnsi="Arial" w:cs="Arial"/>
        </w:rPr>
      </w:pPr>
      <w:r w:rsidRPr="00B81922">
        <w:rPr>
          <w:rFonts w:ascii="Arial" w:hAnsi="Arial" w:cs="Arial"/>
        </w:rPr>
        <w:t xml:space="preserve">Prevention and Adaptation: Just as healthcare promotes prevention through </w:t>
      </w:r>
      <w:proofErr w:type="spellStart"/>
      <w:r w:rsidRPr="00B81922">
        <w:rPr>
          <w:rFonts w:ascii="Arial" w:hAnsi="Arial" w:cs="Arial"/>
        </w:rPr>
        <w:t>immunisation</w:t>
      </w:r>
      <w:proofErr w:type="spellEnd"/>
      <w:r w:rsidRPr="00B81922">
        <w:rPr>
          <w:rFonts w:ascii="Arial" w:hAnsi="Arial" w:cs="Arial"/>
        </w:rPr>
        <w:t>, hygiene, and healthy lifestyles, climate action relies on proactive measures. Embedding sustainability across healthcare operations supports both mitigation and adaptation, protecting health systems and the populations they serve.</w:t>
      </w:r>
    </w:p>
    <w:p w14:paraId="46091CBC" w14:textId="0D582496" w:rsidR="00530CF1" w:rsidRDefault="00000000">
      <w:pPr>
        <w:rPr>
          <w:rFonts w:ascii="Arial" w:hAnsi="Arial" w:cs="Arial"/>
        </w:rPr>
      </w:pPr>
      <w:r w:rsidRPr="00B81922">
        <w:rPr>
          <w:rFonts w:ascii="Arial" w:hAnsi="Arial" w:cs="Arial"/>
        </w:rPr>
        <w:t xml:space="preserve">This analogy underscores the urgency of climate action within the NHS. Just as we treat illness in individuals, we must also respond decisively to the symptoms of a warming planet, </w:t>
      </w:r>
      <w:proofErr w:type="spellStart"/>
      <w:r w:rsidRPr="00B81922">
        <w:rPr>
          <w:rFonts w:ascii="Arial" w:hAnsi="Arial" w:cs="Arial"/>
        </w:rPr>
        <w:t>recognising</w:t>
      </w:r>
      <w:proofErr w:type="spellEnd"/>
      <w:r w:rsidRPr="00B81922">
        <w:rPr>
          <w:rFonts w:ascii="Arial" w:hAnsi="Arial" w:cs="Arial"/>
        </w:rPr>
        <w:t xml:space="preserve"> that planetary health and human health are deeply interconnected.</w:t>
      </w:r>
    </w:p>
    <w:p w14:paraId="1AC57DDE" w14:textId="77777777" w:rsidR="00644201" w:rsidRPr="00B81922" w:rsidRDefault="00644201">
      <w:pPr>
        <w:rPr>
          <w:rFonts w:ascii="Arial" w:hAnsi="Arial" w:cs="Arial"/>
        </w:rPr>
      </w:pPr>
    </w:p>
    <w:p w14:paraId="28C79060" w14:textId="257A79DA" w:rsidR="00530CF1" w:rsidRPr="00B81922" w:rsidRDefault="00000000" w:rsidP="005F312C">
      <w:pPr>
        <w:pStyle w:val="Heading1"/>
      </w:pPr>
      <w:r w:rsidRPr="00B81922">
        <w:t>Drivers for change</w:t>
      </w:r>
    </w:p>
    <w:p w14:paraId="44A54BD0" w14:textId="66A16F9E" w:rsidR="00530CF1" w:rsidRPr="00B81922" w:rsidRDefault="00000000">
      <w:pPr>
        <w:rPr>
          <w:rFonts w:ascii="Arial" w:hAnsi="Arial" w:cs="Arial"/>
        </w:rPr>
      </w:pPr>
      <w:r w:rsidRPr="00B81922">
        <w:rPr>
          <w:rFonts w:ascii="Arial" w:hAnsi="Arial" w:cs="Arial"/>
        </w:rPr>
        <w:t xml:space="preserve">The drivers outlined in this section provide the legal, policy, and strategic context that underpins the </w:t>
      </w:r>
      <w:proofErr w:type="spellStart"/>
      <w:r w:rsidRPr="00B81922">
        <w:rPr>
          <w:rFonts w:ascii="Arial" w:hAnsi="Arial" w:cs="Arial"/>
        </w:rPr>
        <w:t>organisation’s</w:t>
      </w:r>
      <w:proofErr w:type="spellEnd"/>
      <w:r w:rsidRPr="00B81922">
        <w:rPr>
          <w:rFonts w:ascii="Arial" w:hAnsi="Arial" w:cs="Arial"/>
        </w:rPr>
        <w:t xml:space="preserve"> commitment to sustainability. These drivers can be </w:t>
      </w:r>
      <w:proofErr w:type="spellStart"/>
      <w:r w:rsidRPr="00B81922">
        <w:rPr>
          <w:rFonts w:ascii="Arial" w:hAnsi="Arial" w:cs="Arial"/>
        </w:rPr>
        <w:t>categorised</w:t>
      </w:r>
      <w:proofErr w:type="spellEnd"/>
      <w:r w:rsidRPr="00B81922">
        <w:rPr>
          <w:rFonts w:ascii="Arial" w:hAnsi="Arial" w:cs="Arial"/>
        </w:rPr>
        <w:t xml:space="preserve"> into four key groups and collectively define the requirements that mandate delivery, establish financial accountability, and set legal obligations for both the </w:t>
      </w:r>
      <w:proofErr w:type="spellStart"/>
      <w:r w:rsidRPr="00B81922">
        <w:rPr>
          <w:rFonts w:ascii="Arial" w:hAnsi="Arial" w:cs="Arial"/>
        </w:rPr>
        <w:t>organisation</w:t>
      </w:r>
      <w:proofErr w:type="spellEnd"/>
      <w:r w:rsidRPr="00B81922">
        <w:rPr>
          <w:rFonts w:ascii="Arial" w:hAnsi="Arial" w:cs="Arial"/>
        </w:rPr>
        <w:t xml:space="preserve"> and the wider health and care system.</w:t>
      </w:r>
    </w:p>
    <w:p w14:paraId="675DA54F" w14:textId="5A43EEEB" w:rsidR="00530CF1" w:rsidRDefault="00000000">
      <w:pPr>
        <w:rPr>
          <w:rFonts w:ascii="Arial" w:hAnsi="Arial" w:cs="Arial"/>
        </w:rPr>
      </w:pPr>
      <w:r w:rsidRPr="00B81922">
        <w:rPr>
          <w:rFonts w:ascii="Arial" w:hAnsi="Arial" w:cs="Arial"/>
        </w:rPr>
        <w:t xml:space="preserve">They serve to ensure compliance with statutory duties, alignment with national and international climate targets, and adherence to sector-specific guidance. These drivers are accurate at the time of publication but will be subject to regular review and updates </w:t>
      </w:r>
      <w:r w:rsidRPr="00B81922">
        <w:rPr>
          <w:rFonts w:ascii="Arial" w:hAnsi="Arial" w:cs="Arial"/>
        </w:rPr>
        <w:lastRenderedPageBreak/>
        <w:t>throughout the duration of this Green Plan, in line with emerging legislation, policy developments, and NHS priorities.</w:t>
      </w:r>
    </w:p>
    <w:p w14:paraId="35A71998" w14:textId="77777777" w:rsidR="00644201" w:rsidRPr="00B81922" w:rsidRDefault="00644201">
      <w:pPr>
        <w:rPr>
          <w:rFonts w:ascii="Arial" w:hAnsi="Arial" w:cs="Arial"/>
        </w:rPr>
      </w:pPr>
    </w:p>
    <w:p w14:paraId="0E9BC369" w14:textId="77777777" w:rsidR="00530CF1" w:rsidRPr="00257247" w:rsidRDefault="00000000" w:rsidP="005F312C">
      <w:pPr>
        <w:pStyle w:val="Heading2"/>
        <w:rPr>
          <w:color w:val="365F91" w:themeColor="accent1" w:themeShade="BF"/>
        </w:rPr>
      </w:pPr>
      <w:r w:rsidRPr="00257247">
        <w:rPr>
          <w:color w:val="365F91" w:themeColor="accent1" w:themeShade="BF"/>
        </w:rPr>
        <w:t>Legislative and mandatory</w:t>
      </w:r>
    </w:p>
    <w:p w14:paraId="08A4425A" w14:textId="77777777" w:rsidR="00530CF1" w:rsidRPr="00B81922" w:rsidRDefault="00000000">
      <w:pPr>
        <w:rPr>
          <w:rFonts w:ascii="Arial" w:hAnsi="Arial" w:cs="Arial"/>
        </w:rPr>
      </w:pPr>
      <w:r w:rsidRPr="00B81922">
        <w:rPr>
          <w:rFonts w:ascii="Arial" w:hAnsi="Arial" w:cs="Arial"/>
        </w:rPr>
        <w:t>• Climate Change Act 2008 (as amended in 2019)</w:t>
      </w:r>
    </w:p>
    <w:p w14:paraId="20923ACF" w14:textId="77777777" w:rsidR="00530CF1" w:rsidRPr="00B81922" w:rsidRDefault="00000000">
      <w:pPr>
        <w:rPr>
          <w:rFonts w:ascii="Arial" w:hAnsi="Arial" w:cs="Arial"/>
        </w:rPr>
      </w:pPr>
      <w:r w:rsidRPr="00B81922">
        <w:rPr>
          <w:rFonts w:ascii="Arial" w:hAnsi="Arial" w:cs="Arial"/>
        </w:rPr>
        <w:t>• Environmental Act 2021</w:t>
      </w:r>
    </w:p>
    <w:p w14:paraId="24E6CEF3" w14:textId="77777777" w:rsidR="00530CF1" w:rsidRPr="00B81922" w:rsidRDefault="00000000">
      <w:pPr>
        <w:rPr>
          <w:rFonts w:ascii="Arial" w:hAnsi="Arial" w:cs="Arial"/>
        </w:rPr>
      </w:pPr>
      <w:r w:rsidRPr="00B81922">
        <w:rPr>
          <w:rFonts w:ascii="Arial" w:hAnsi="Arial" w:cs="Arial"/>
        </w:rPr>
        <w:t>• Health and Care Act 2022</w:t>
      </w:r>
    </w:p>
    <w:p w14:paraId="459DF926" w14:textId="77777777" w:rsidR="00530CF1" w:rsidRPr="00B81922" w:rsidRDefault="00000000">
      <w:pPr>
        <w:rPr>
          <w:rFonts w:ascii="Arial" w:hAnsi="Arial" w:cs="Arial"/>
        </w:rPr>
      </w:pPr>
      <w:r w:rsidRPr="00B81922">
        <w:rPr>
          <w:rFonts w:ascii="Arial" w:hAnsi="Arial" w:cs="Arial"/>
        </w:rPr>
        <w:t>• Public Services (Social Values) Act 2012</w:t>
      </w:r>
    </w:p>
    <w:p w14:paraId="586BFB79" w14:textId="77777777" w:rsidR="00530CF1" w:rsidRPr="00B81922" w:rsidRDefault="00000000">
      <w:pPr>
        <w:rPr>
          <w:rFonts w:ascii="Arial" w:hAnsi="Arial" w:cs="Arial"/>
        </w:rPr>
      </w:pPr>
      <w:r w:rsidRPr="00B81922">
        <w:rPr>
          <w:rFonts w:ascii="Arial" w:hAnsi="Arial" w:cs="Arial"/>
        </w:rPr>
        <w:t>• The Energy Performance of Buildings (England and Wales) Regulations 2012</w:t>
      </w:r>
    </w:p>
    <w:p w14:paraId="419B3489" w14:textId="77777777" w:rsidR="00530CF1" w:rsidRPr="00B81922" w:rsidRDefault="00000000">
      <w:pPr>
        <w:rPr>
          <w:rFonts w:ascii="Arial" w:hAnsi="Arial" w:cs="Arial"/>
        </w:rPr>
      </w:pPr>
      <w:r w:rsidRPr="00B81922">
        <w:rPr>
          <w:rFonts w:ascii="Arial" w:hAnsi="Arial" w:cs="Arial"/>
        </w:rPr>
        <w:t>• Waste (England and Wales) Regulations 2011</w:t>
      </w:r>
    </w:p>
    <w:p w14:paraId="7A3B54F7" w14:textId="77777777" w:rsidR="00530CF1" w:rsidRPr="00B81922" w:rsidRDefault="00000000">
      <w:pPr>
        <w:rPr>
          <w:rFonts w:ascii="Arial" w:hAnsi="Arial" w:cs="Arial"/>
        </w:rPr>
      </w:pPr>
      <w:r w:rsidRPr="00B81922">
        <w:rPr>
          <w:rFonts w:ascii="Arial" w:hAnsi="Arial" w:cs="Arial"/>
        </w:rPr>
        <w:t>• The Building Regulations 2010</w:t>
      </w:r>
    </w:p>
    <w:p w14:paraId="513788D5" w14:textId="77777777" w:rsidR="00530CF1" w:rsidRPr="00B81922" w:rsidRDefault="00530CF1">
      <w:pPr>
        <w:rPr>
          <w:rFonts w:ascii="Arial" w:hAnsi="Arial" w:cs="Arial"/>
        </w:rPr>
      </w:pPr>
    </w:p>
    <w:p w14:paraId="5A892C05" w14:textId="77777777" w:rsidR="00530CF1" w:rsidRPr="00257247" w:rsidRDefault="00000000" w:rsidP="005F312C">
      <w:pPr>
        <w:pStyle w:val="Heading2"/>
        <w:rPr>
          <w:color w:val="365F91" w:themeColor="accent1" w:themeShade="BF"/>
        </w:rPr>
      </w:pPr>
      <w:r w:rsidRPr="00257247">
        <w:rPr>
          <w:color w:val="365F91" w:themeColor="accent1" w:themeShade="BF"/>
        </w:rPr>
        <w:t>International Guidance</w:t>
      </w:r>
    </w:p>
    <w:p w14:paraId="5B6A9115" w14:textId="77777777" w:rsidR="00530CF1" w:rsidRPr="00B81922" w:rsidRDefault="00000000">
      <w:pPr>
        <w:rPr>
          <w:rFonts w:ascii="Arial" w:hAnsi="Arial" w:cs="Arial"/>
        </w:rPr>
      </w:pPr>
      <w:r w:rsidRPr="00B81922">
        <w:rPr>
          <w:rFonts w:ascii="Arial" w:hAnsi="Arial" w:cs="Arial"/>
        </w:rPr>
        <w:t>• Paris Agreement (2015)</w:t>
      </w:r>
    </w:p>
    <w:p w14:paraId="224CC798" w14:textId="77777777" w:rsidR="00530CF1" w:rsidRPr="00B81922" w:rsidRDefault="00000000">
      <w:pPr>
        <w:rPr>
          <w:rFonts w:ascii="Arial" w:hAnsi="Arial" w:cs="Arial"/>
        </w:rPr>
      </w:pPr>
      <w:r w:rsidRPr="00B81922">
        <w:rPr>
          <w:rFonts w:ascii="Arial" w:hAnsi="Arial" w:cs="Arial"/>
        </w:rPr>
        <w:t>• UN Sustainable Development Goals (SDGs)</w:t>
      </w:r>
    </w:p>
    <w:p w14:paraId="7691DA72" w14:textId="77777777" w:rsidR="00530CF1" w:rsidRPr="00B81922" w:rsidRDefault="00000000">
      <w:pPr>
        <w:rPr>
          <w:rFonts w:ascii="Arial" w:hAnsi="Arial" w:cs="Arial"/>
        </w:rPr>
      </w:pPr>
      <w:r w:rsidRPr="00B81922">
        <w:rPr>
          <w:rFonts w:ascii="Arial" w:hAnsi="Arial" w:cs="Arial"/>
        </w:rPr>
        <w:t>• COP28 Health Declaration (2023)</w:t>
      </w:r>
    </w:p>
    <w:p w14:paraId="54764B83" w14:textId="77777777" w:rsidR="00530CF1" w:rsidRPr="00B81922" w:rsidRDefault="00000000">
      <w:pPr>
        <w:rPr>
          <w:rFonts w:ascii="Arial" w:hAnsi="Arial" w:cs="Arial"/>
        </w:rPr>
      </w:pPr>
      <w:r w:rsidRPr="00B81922">
        <w:rPr>
          <w:rFonts w:ascii="Arial" w:hAnsi="Arial" w:cs="Arial"/>
        </w:rPr>
        <w:t xml:space="preserve">• World Health </w:t>
      </w:r>
      <w:proofErr w:type="spellStart"/>
      <w:r w:rsidRPr="00B81922">
        <w:rPr>
          <w:rFonts w:ascii="Arial" w:hAnsi="Arial" w:cs="Arial"/>
        </w:rPr>
        <w:t>Organisation</w:t>
      </w:r>
      <w:proofErr w:type="spellEnd"/>
      <w:r w:rsidRPr="00B81922">
        <w:rPr>
          <w:rFonts w:ascii="Arial" w:hAnsi="Arial" w:cs="Arial"/>
        </w:rPr>
        <w:t xml:space="preserve"> (WHO) – Health Care Climate Resilience Guidelines</w:t>
      </w:r>
    </w:p>
    <w:p w14:paraId="593BC36B" w14:textId="77777777" w:rsidR="00530CF1" w:rsidRPr="00B81922" w:rsidRDefault="00000000">
      <w:pPr>
        <w:rPr>
          <w:rFonts w:ascii="Arial" w:hAnsi="Arial" w:cs="Arial"/>
        </w:rPr>
      </w:pPr>
      <w:r w:rsidRPr="00B81922">
        <w:rPr>
          <w:rFonts w:ascii="Arial" w:hAnsi="Arial" w:cs="Arial"/>
        </w:rPr>
        <w:t>• Race Zero (UNFCCC-led initiative)</w:t>
      </w:r>
    </w:p>
    <w:p w14:paraId="64C4D01D" w14:textId="77777777" w:rsidR="00530CF1" w:rsidRPr="00B81922" w:rsidRDefault="00530CF1">
      <w:pPr>
        <w:rPr>
          <w:rFonts w:ascii="Arial" w:hAnsi="Arial" w:cs="Arial"/>
        </w:rPr>
      </w:pPr>
    </w:p>
    <w:p w14:paraId="6D70C61E" w14:textId="77777777" w:rsidR="00530CF1" w:rsidRPr="00257247" w:rsidRDefault="00000000" w:rsidP="005F312C">
      <w:pPr>
        <w:pStyle w:val="Heading2"/>
        <w:rPr>
          <w:color w:val="365F91" w:themeColor="accent1" w:themeShade="BF"/>
        </w:rPr>
      </w:pPr>
      <w:r w:rsidRPr="00257247">
        <w:rPr>
          <w:color w:val="365F91" w:themeColor="accent1" w:themeShade="BF"/>
        </w:rPr>
        <w:t>NHS Specific Strategies and Policy</w:t>
      </w:r>
    </w:p>
    <w:p w14:paraId="1A6D6815" w14:textId="77777777" w:rsidR="00530CF1" w:rsidRPr="00B81922" w:rsidRDefault="00000000">
      <w:pPr>
        <w:rPr>
          <w:rFonts w:ascii="Arial" w:hAnsi="Arial" w:cs="Arial"/>
        </w:rPr>
      </w:pPr>
      <w:r w:rsidRPr="00B81922">
        <w:rPr>
          <w:rFonts w:ascii="Arial" w:hAnsi="Arial" w:cs="Arial"/>
        </w:rPr>
        <w:t>• Greener NHS Strategy (2020 – present)</w:t>
      </w:r>
    </w:p>
    <w:p w14:paraId="723EB8C7" w14:textId="77777777" w:rsidR="00530CF1" w:rsidRPr="00B81922" w:rsidRDefault="00000000">
      <w:pPr>
        <w:rPr>
          <w:rFonts w:ascii="Arial" w:hAnsi="Arial" w:cs="Arial"/>
        </w:rPr>
      </w:pPr>
      <w:r w:rsidRPr="00B81922">
        <w:rPr>
          <w:rFonts w:ascii="Arial" w:hAnsi="Arial" w:cs="Arial"/>
        </w:rPr>
        <w:t>• NHS Net Zero Building Standards (2023)</w:t>
      </w:r>
    </w:p>
    <w:p w14:paraId="6B43B19C" w14:textId="77777777" w:rsidR="00530CF1" w:rsidRPr="00B81922" w:rsidRDefault="00000000">
      <w:pPr>
        <w:rPr>
          <w:rFonts w:ascii="Arial" w:hAnsi="Arial" w:cs="Arial"/>
        </w:rPr>
      </w:pPr>
      <w:r w:rsidRPr="00B81922">
        <w:rPr>
          <w:rFonts w:ascii="Arial" w:hAnsi="Arial" w:cs="Arial"/>
        </w:rPr>
        <w:t>• NHS Standard Contract (Service Conditions)</w:t>
      </w:r>
    </w:p>
    <w:p w14:paraId="1F01AFAD" w14:textId="77777777" w:rsidR="00530CF1" w:rsidRPr="00B81922" w:rsidRDefault="00000000">
      <w:pPr>
        <w:rPr>
          <w:rFonts w:ascii="Arial" w:hAnsi="Arial" w:cs="Arial"/>
        </w:rPr>
      </w:pPr>
      <w:r w:rsidRPr="00B81922">
        <w:rPr>
          <w:rFonts w:ascii="Arial" w:hAnsi="Arial" w:cs="Arial"/>
        </w:rPr>
        <w:t>• NHS Model Hospital and ERIC data reporting</w:t>
      </w:r>
    </w:p>
    <w:p w14:paraId="1EBD3905" w14:textId="77777777" w:rsidR="00530CF1" w:rsidRPr="00B81922" w:rsidRDefault="00000000">
      <w:pPr>
        <w:rPr>
          <w:rFonts w:ascii="Arial" w:hAnsi="Arial" w:cs="Arial"/>
        </w:rPr>
      </w:pPr>
      <w:r w:rsidRPr="00B81922">
        <w:rPr>
          <w:rFonts w:ascii="Arial" w:hAnsi="Arial" w:cs="Arial"/>
        </w:rPr>
        <w:t>• Delivering a Net Zero NHS (2020)</w:t>
      </w:r>
    </w:p>
    <w:p w14:paraId="5C413EFE" w14:textId="77777777" w:rsidR="00530CF1" w:rsidRPr="00B81922" w:rsidRDefault="00000000">
      <w:pPr>
        <w:rPr>
          <w:rFonts w:ascii="Arial" w:hAnsi="Arial" w:cs="Arial"/>
        </w:rPr>
      </w:pPr>
      <w:r w:rsidRPr="00B81922">
        <w:rPr>
          <w:rFonts w:ascii="Arial" w:hAnsi="Arial" w:cs="Arial"/>
        </w:rPr>
        <w:t>• NHS Net Zero Carbon Delivery Plan</w:t>
      </w:r>
    </w:p>
    <w:p w14:paraId="4E1A8FBB" w14:textId="77777777" w:rsidR="00530CF1" w:rsidRPr="00B81922" w:rsidRDefault="00000000">
      <w:pPr>
        <w:rPr>
          <w:rFonts w:ascii="Arial" w:hAnsi="Arial" w:cs="Arial"/>
        </w:rPr>
      </w:pPr>
      <w:r w:rsidRPr="00B81922">
        <w:rPr>
          <w:rFonts w:ascii="Arial" w:hAnsi="Arial" w:cs="Arial"/>
        </w:rPr>
        <w:t>• NHS England Carbon Footprint Plus Model</w:t>
      </w:r>
    </w:p>
    <w:p w14:paraId="6C08E3A1" w14:textId="77777777" w:rsidR="00530CF1" w:rsidRPr="00B81922" w:rsidRDefault="00000000">
      <w:pPr>
        <w:rPr>
          <w:rFonts w:ascii="Arial" w:hAnsi="Arial" w:cs="Arial"/>
        </w:rPr>
      </w:pPr>
      <w:r w:rsidRPr="00B81922">
        <w:rPr>
          <w:rFonts w:ascii="Arial" w:hAnsi="Arial" w:cs="Arial"/>
        </w:rPr>
        <w:t>• ICS and ICB Green Plans</w:t>
      </w:r>
    </w:p>
    <w:p w14:paraId="2C118A81" w14:textId="77777777" w:rsidR="00530CF1" w:rsidRPr="00B81922" w:rsidRDefault="00000000">
      <w:pPr>
        <w:rPr>
          <w:rFonts w:ascii="Arial" w:hAnsi="Arial" w:cs="Arial"/>
        </w:rPr>
      </w:pPr>
      <w:r w:rsidRPr="00B81922">
        <w:rPr>
          <w:rFonts w:ascii="Arial" w:hAnsi="Arial" w:cs="Arial"/>
        </w:rPr>
        <w:lastRenderedPageBreak/>
        <w:t>• NHS Waste Management Strategy</w:t>
      </w:r>
    </w:p>
    <w:p w14:paraId="37FB49CF" w14:textId="77777777" w:rsidR="00530CF1" w:rsidRPr="00B81922" w:rsidRDefault="00000000">
      <w:pPr>
        <w:rPr>
          <w:rFonts w:ascii="Arial" w:hAnsi="Arial" w:cs="Arial"/>
        </w:rPr>
      </w:pPr>
      <w:r w:rsidRPr="00B81922">
        <w:rPr>
          <w:rFonts w:ascii="Arial" w:hAnsi="Arial" w:cs="Arial"/>
        </w:rPr>
        <w:t>• NHS Supply Chain Sustainability Commitments</w:t>
      </w:r>
    </w:p>
    <w:p w14:paraId="3E4B66F6" w14:textId="77777777" w:rsidR="00530CF1" w:rsidRPr="00B81922" w:rsidRDefault="00530CF1">
      <w:pPr>
        <w:rPr>
          <w:rFonts w:ascii="Arial" w:hAnsi="Arial" w:cs="Arial"/>
        </w:rPr>
      </w:pPr>
    </w:p>
    <w:p w14:paraId="6DB9C042" w14:textId="77777777" w:rsidR="00530CF1" w:rsidRPr="00257247" w:rsidRDefault="00000000" w:rsidP="005F312C">
      <w:pPr>
        <w:pStyle w:val="Heading2"/>
        <w:rPr>
          <w:color w:val="365F91" w:themeColor="accent1" w:themeShade="BF"/>
        </w:rPr>
      </w:pPr>
      <w:r w:rsidRPr="00257247">
        <w:rPr>
          <w:color w:val="365F91" w:themeColor="accent1" w:themeShade="BF"/>
        </w:rPr>
        <w:t>UK Strategy and Guidance</w:t>
      </w:r>
    </w:p>
    <w:p w14:paraId="0A119C77" w14:textId="77777777" w:rsidR="00530CF1" w:rsidRPr="00B81922" w:rsidRDefault="00000000">
      <w:pPr>
        <w:rPr>
          <w:rFonts w:ascii="Arial" w:hAnsi="Arial" w:cs="Arial"/>
        </w:rPr>
      </w:pPr>
      <w:r w:rsidRPr="00B81922">
        <w:rPr>
          <w:rFonts w:ascii="Arial" w:hAnsi="Arial" w:cs="Arial"/>
        </w:rPr>
        <w:t>• UK Net Zero Strategy: Build Back Greener (2021)</w:t>
      </w:r>
    </w:p>
    <w:p w14:paraId="60AC37B4" w14:textId="77777777" w:rsidR="00530CF1" w:rsidRPr="00B81922" w:rsidRDefault="00000000">
      <w:pPr>
        <w:rPr>
          <w:rFonts w:ascii="Arial" w:hAnsi="Arial" w:cs="Arial"/>
        </w:rPr>
      </w:pPr>
      <w:r w:rsidRPr="00B81922">
        <w:rPr>
          <w:rFonts w:ascii="Arial" w:hAnsi="Arial" w:cs="Arial"/>
        </w:rPr>
        <w:t xml:space="preserve">• Industrial </w:t>
      </w:r>
      <w:proofErr w:type="spellStart"/>
      <w:r w:rsidRPr="00B81922">
        <w:rPr>
          <w:rFonts w:ascii="Arial" w:hAnsi="Arial" w:cs="Arial"/>
        </w:rPr>
        <w:t>Decarbonisation</w:t>
      </w:r>
      <w:proofErr w:type="spellEnd"/>
      <w:r w:rsidRPr="00B81922">
        <w:rPr>
          <w:rFonts w:ascii="Arial" w:hAnsi="Arial" w:cs="Arial"/>
        </w:rPr>
        <w:t xml:space="preserve"> Strategy (2021)</w:t>
      </w:r>
    </w:p>
    <w:p w14:paraId="49E1D041" w14:textId="77777777" w:rsidR="00530CF1" w:rsidRPr="00B81922" w:rsidRDefault="00000000">
      <w:pPr>
        <w:rPr>
          <w:rFonts w:ascii="Arial" w:hAnsi="Arial" w:cs="Arial"/>
        </w:rPr>
      </w:pPr>
      <w:r w:rsidRPr="00B81922">
        <w:rPr>
          <w:rFonts w:ascii="Arial" w:hAnsi="Arial" w:cs="Arial"/>
        </w:rPr>
        <w:t>• Clean Air Strategy (2019)</w:t>
      </w:r>
    </w:p>
    <w:p w14:paraId="76FF1B9C" w14:textId="77777777" w:rsidR="00530CF1" w:rsidRPr="00B81922" w:rsidRDefault="00000000">
      <w:pPr>
        <w:rPr>
          <w:rFonts w:ascii="Arial" w:hAnsi="Arial" w:cs="Arial"/>
        </w:rPr>
      </w:pPr>
      <w:r w:rsidRPr="00B81922">
        <w:rPr>
          <w:rFonts w:ascii="Arial" w:hAnsi="Arial" w:cs="Arial"/>
        </w:rPr>
        <w:t>• The 25 Year Environmental Plan (2018)</w:t>
      </w:r>
    </w:p>
    <w:p w14:paraId="33D3333F" w14:textId="77777777" w:rsidR="00530CF1" w:rsidRPr="00B81922" w:rsidRDefault="00000000">
      <w:pPr>
        <w:rPr>
          <w:rFonts w:ascii="Arial" w:hAnsi="Arial" w:cs="Arial"/>
        </w:rPr>
      </w:pPr>
      <w:r w:rsidRPr="00B81922">
        <w:rPr>
          <w:rFonts w:ascii="Arial" w:hAnsi="Arial" w:cs="Arial"/>
        </w:rPr>
        <w:t>• Energy Security Strategy (2022)</w:t>
      </w:r>
    </w:p>
    <w:p w14:paraId="6B7E20D4" w14:textId="668D9ED4" w:rsidR="00530CF1" w:rsidRPr="00B81922" w:rsidRDefault="00000000">
      <w:pPr>
        <w:rPr>
          <w:rFonts w:ascii="Arial" w:hAnsi="Arial" w:cs="Arial"/>
        </w:rPr>
      </w:pPr>
      <w:r w:rsidRPr="00B81922">
        <w:rPr>
          <w:rFonts w:ascii="Arial" w:hAnsi="Arial" w:cs="Arial"/>
        </w:rPr>
        <w:t>• National Infrastructure Strategy (2020)</w:t>
      </w:r>
    </w:p>
    <w:p w14:paraId="60BE4419" w14:textId="77777777" w:rsidR="00530CF1" w:rsidRPr="00B81922" w:rsidRDefault="00530CF1">
      <w:pPr>
        <w:rPr>
          <w:rFonts w:ascii="Arial" w:hAnsi="Arial" w:cs="Arial"/>
        </w:rPr>
      </w:pPr>
    </w:p>
    <w:p w14:paraId="13446A0B" w14:textId="62131736" w:rsidR="00530CF1" w:rsidRPr="00B81922" w:rsidRDefault="00000000" w:rsidP="005F312C">
      <w:pPr>
        <w:pStyle w:val="Heading1"/>
      </w:pPr>
      <w:r w:rsidRPr="00B81922">
        <w:t>Sustainable development</w:t>
      </w:r>
    </w:p>
    <w:p w14:paraId="4B16F086" w14:textId="116E578C" w:rsidR="00530CF1" w:rsidRPr="00257247" w:rsidRDefault="00000000" w:rsidP="005F312C">
      <w:pPr>
        <w:pStyle w:val="Heading2"/>
        <w:rPr>
          <w:color w:val="365F91" w:themeColor="accent1" w:themeShade="BF"/>
        </w:rPr>
      </w:pPr>
      <w:r w:rsidRPr="00257247">
        <w:rPr>
          <w:color w:val="365F91" w:themeColor="accent1" w:themeShade="BF"/>
        </w:rPr>
        <w:t>What is sustainable development?</w:t>
      </w:r>
    </w:p>
    <w:p w14:paraId="4D52E95A" w14:textId="51216309" w:rsidR="00530CF1" w:rsidRPr="00B81922" w:rsidRDefault="00000000">
      <w:pPr>
        <w:rPr>
          <w:rFonts w:ascii="Arial" w:hAnsi="Arial" w:cs="Arial"/>
        </w:rPr>
      </w:pPr>
      <w:r w:rsidRPr="00B81922">
        <w:rPr>
          <w:rFonts w:ascii="Arial" w:hAnsi="Arial" w:cs="Arial"/>
        </w:rPr>
        <w:t>Sustainable development refers to the responsible use of resources in a way that meets the needs of the present without compromising the ability of future generations to meet their own needs. This concept, originally defined by the Brundtland Commission, remains central to the NHS’s long-term vision for environmental and social responsibility.</w:t>
      </w:r>
    </w:p>
    <w:p w14:paraId="1E5296EE" w14:textId="1A7FA689" w:rsidR="00530CF1" w:rsidRPr="00B81922" w:rsidRDefault="00000000">
      <w:pPr>
        <w:rPr>
          <w:rFonts w:ascii="Arial" w:hAnsi="Arial" w:cs="Arial"/>
        </w:rPr>
      </w:pPr>
      <w:r w:rsidRPr="00B81922">
        <w:rPr>
          <w:rFonts w:ascii="Arial" w:hAnsi="Arial" w:cs="Arial"/>
        </w:rPr>
        <w:t>In alignment with the 2025 NHS Green Plan Guidance, sustainable development within the NHS context encompasses a strategic approach to delivering high-quality healthcare while reducing environmental impact, improving population health, and enhancing the resilience of the health and care system.</w:t>
      </w:r>
    </w:p>
    <w:p w14:paraId="5B432211" w14:textId="2E2486A0" w:rsidR="00530CF1" w:rsidRPr="00B81922" w:rsidRDefault="00000000">
      <w:pPr>
        <w:rPr>
          <w:rFonts w:ascii="Arial" w:hAnsi="Arial" w:cs="Arial"/>
        </w:rPr>
      </w:pPr>
      <w:r w:rsidRPr="00B81922">
        <w:rPr>
          <w:rFonts w:ascii="Arial" w:hAnsi="Arial" w:cs="Arial"/>
        </w:rPr>
        <w:t xml:space="preserve">To support this ambition, the Greener NHS </w:t>
      </w:r>
      <w:proofErr w:type="spellStart"/>
      <w:r w:rsidRPr="00B81922">
        <w:rPr>
          <w:rFonts w:ascii="Arial" w:hAnsi="Arial" w:cs="Arial"/>
        </w:rPr>
        <w:t>programme</w:t>
      </w:r>
      <w:proofErr w:type="spellEnd"/>
      <w:r w:rsidRPr="00B81922">
        <w:rPr>
          <w:rFonts w:ascii="Arial" w:hAnsi="Arial" w:cs="Arial"/>
        </w:rPr>
        <w:t xml:space="preserve"> has developed ten modules, which provide a structured framework for NHS </w:t>
      </w:r>
      <w:proofErr w:type="spellStart"/>
      <w:r w:rsidRPr="00B81922">
        <w:rPr>
          <w:rFonts w:ascii="Arial" w:hAnsi="Arial" w:cs="Arial"/>
        </w:rPr>
        <w:t>organisations</w:t>
      </w:r>
      <w:proofErr w:type="spellEnd"/>
      <w:r w:rsidRPr="00B81922">
        <w:rPr>
          <w:rFonts w:ascii="Arial" w:hAnsi="Arial" w:cs="Arial"/>
        </w:rPr>
        <w:t>. These modules clearly define key objectives, focus areas, and delivery expectations that collectively contribute to achieving the NHS’s Net Zero commitments and broader sustainable development goals</w:t>
      </w:r>
    </w:p>
    <w:p w14:paraId="504B3799" w14:textId="4A4D6C16" w:rsidR="00530CF1" w:rsidRPr="00257247" w:rsidRDefault="00000000" w:rsidP="005F312C">
      <w:pPr>
        <w:pStyle w:val="Heading2"/>
        <w:rPr>
          <w:color w:val="365F91" w:themeColor="accent1" w:themeShade="BF"/>
        </w:rPr>
      </w:pPr>
      <w:r w:rsidRPr="00257247">
        <w:rPr>
          <w:color w:val="365F91" w:themeColor="accent1" w:themeShade="BF"/>
        </w:rPr>
        <w:t>The Trust approach to sustainable development</w:t>
      </w:r>
    </w:p>
    <w:p w14:paraId="60F96A4B" w14:textId="0ACC59FF" w:rsidR="00530CF1" w:rsidRPr="00B81922" w:rsidRDefault="00000000">
      <w:pPr>
        <w:rPr>
          <w:rFonts w:ascii="Arial" w:hAnsi="Arial" w:cs="Arial"/>
        </w:rPr>
      </w:pPr>
      <w:r w:rsidRPr="00B81922">
        <w:rPr>
          <w:rFonts w:ascii="Arial" w:hAnsi="Arial" w:cs="Arial"/>
        </w:rPr>
        <w:t xml:space="preserve">Humber Teaching NHS Foundation Trust takes a collaborative and inclusive approach to sustainable development, </w:t>
      </w:r>
      <w:proofErr w:type="spellStart"/>
      <w:r w:rsidRPr="00B81922">
        <w:rPr>
          <w:rFonts w:ascii="Arial" w:hAnsi="Arial" w:cs="Arial"/>
        </w:rPr>
        <w:t>recognising</w:t>
      </w:r>
      <w:proofErr w:type="spellEnd"/>
      <w:r w:rsidRPr="00B81922">
        <w:rPr>
          <w:rFonts w:ascii="Arial" w:hAnsi="Arial" w:cs="Arial"/>
        </w:rPr>
        <w:t xml:space="preserve"> that lasting environmental change requires collective action across all levels of the health and care system.</w:t>
      </w:r>
    </w:p>
    <w:p w14:paraId="67C2FF73" w14:textId="5CA53C44" w:rsidR="00530CF1" w:rsidRPr="00B81922" w:rsidRDefault="00000000">
      <w:pPr>
        <w:rPr>
          <w:rFonts w:ascii="Arial" w:hAnsi="Arial" w:cs="Arial"/>
        </w:rPr>
      </w:pPr>
      <w:r w:rsidRPr="00B81922">
        <w:rPr>
          <w:rFonts w:ascii="Arial" w:hAnsi="Arial" w:cs="Arial"/>
        </w:rPr>
        <w:t xml:space="preserve">At the heart of this approach is the empowerment of staff, patients, and carers through initiatives such as the Green Champions Network, which supports grassroots </w:t>
      </w:r>
      <w:r w:rsidRPr="00B81922">
        <w:rPr>
          <w:rFonts w:ascii="Arial" w:hAnsi="Arial" w:cs="Arial"/>
        </w:rPr>
        <w:lastRenderedPageBreak/>
        <w:t xml:space="preserve">engagement and encourages sustainable </w:t>
      </w:r>
      <w:proofErr w:type="spellStart"/>
      <w:r w:rsidRPr="00B81922">
        <w:rPr>
          <w:rFonts w:ascii="Arial" w:hAnsi="Arial" w:cs="Arial"/>
        </w:rPr>
        <w:t>behaviours</w:t>
      </w:r>
      <w:proofErr w:type="spellEnd"/>
      <w:r w:rsidRPr="00B81922">
        <w:rPr>
          <w:rFonts w:ascii="Arial" w:hAnsi="Arial" w:cs="Arial"/>
        </w:rPr>
        <w:t xml:space="preserve"> across the </w:t>
      </w:r>
      <w:proofErr w:type="spellStart"/>
      <w:r w:rsidRPr="00B81922">
        <w:rPr>
          <w:rFonts w:ascii="Arial" w:hAnsi="Arial" w:cs="Arial"/>
        </w:rPr>
        <w:t>organisation</w:t>
      </w:r>
      <w:proofErr w:type="spellEnd"/>
      <w:r w:rsidRPr="00B81922">
        <w:rPr>
          <w:rFonts w:ascii="Arial" w:hAnsi="Arial" w:cs="Arial"/>
        </w:rPr>
        <w:t>. The Trust actively promotes system-wide collaboration across the NHS, working closely with Integrated Care Systems (ICSs) to ensure regional alignment and shared learning.</w:t>
      </w:r>
    </w:p>
    <w:p w14:paraId="3ECEC9DA" w14:textId="77777777" w:rsidR="00530CF1" w:rsidRPr="00B81922" w:rsidRDefault="00000000">
      <w:pPr>
        <w:rPr>
          <w:rFonts w:ascii="Arial" w:hAnsi="Arial" w:cs="Arial"/>
        </w:rPr>
      </w:pPr>
      <w:r w:rsidRPr="00B81922">
        <w:rPr>
          <w:rFonts w:ascii="Arial" w:hAnsi="Arial" w:cs="Arial"/>
        </w:rPr>
        <w:t xml:space="preserve">In addition, the Trust </w:t>
      </w:r>
      <w:proofErr w:type="spellStart"/>
      <w:r w:rsidRPr="00B81922">
        <w:rPr>
          <w:rFonts w:ascii="Arial" w:hAnsi="Arial" w:cs="Arial"/>
        </w:rPr>
        <w:t>recognises</w:t>
      </w:r>
      <w:proofErr w:type="spellEnd"/>
      <w:r w:rsidRPr="00B81922">
        <w:rPr>
          <w:rFonts w:ascii="Arial" w:hAnsi="Arial" w:cs="Arial"/>
        </w:rPr>
        <w:t xml:space="preserve"> the value of partnership beyond the NHS, engaging with both public and private sector </w:t>
      </w:r>
      <w:proofErr w:type="spellStart"/>
      <w:r w:rsidRPr="00B81922">
        <w:rPr>
          <w:rFonts w:ascii="Arial" w:hAnsi="Arial" w:cs="Arial"/>
        </w:rPr>
        <w:t>organisations</w:t>
      </w:r>
      <w:proofErr w:type="spellEnd"/>
      <w:r w:rsidRPr="00B81922">
        <w:rPr>
          <w:rFonts w:ascii="Arial" w:hAnsi="Arial" w:cs="Arial"/>
        </w:rPr>
        <w:t xml:space="preserve"> to leverage innovation, resources, and expertise. This collaborative ethos underpins the Trust’s Green Plan and strengthens its commitment to delivering high-quality, sustainable healthcare that supports the well-being of current and future generations.</w:t>
      </w:r>
    </w:p>
    <w:p w14:paraId="2B9549C8" w14:textId="77777777" w:rsidR="00530CF1" w:rsidRPr="00B81922" w:rsidRDefault="00530CF1">
      <w:pPr>
        <w:rPr>
          <w:rFonts w:ascii="Arial" w:hAnsi="Arial" w:cs="Arial"/>
        </w:rPr>
      </w:pPr>
    </w:p>
    <w:p w14:paraId="3AA2188F" w14:textId="4A05D21F" w:rsidR="00530CF1" w:rsidRPr="00B81922" w:rsidRDefault="00000000" w:rsidP="005F312C">
      <w:pPr>
        <w:pStyle w:val="Heading1"/>
      </w:pPr>
      <w:r w:rsidRPr="00B81922">
        <w:t>Areas of focus</w:t>
      </w:r>
    </w:p>
    <w:p w14:paraId="779503C2" w14:textId="77777777" w:rsidR="00530CF1" w:rsidRPr="00B81922" w:rsidRDefault="00000000">
      <w:pPr>
        <w:rPr>
          <w:rFonts w:ascii="Arial" w:hAnsi="Arial" w:cs="Arial"/>
        </w:rPr>
      </w:pPr>
      <w:r w:rsidRPr="00B81922">
        <w:rPr>
          <w:rFonts w:ascii="Arial" w:hAnsi="Arial" w:cs="Arial"/>
        </w:rPr>
        <w:t>The areas of focus have been aligned with the revised NHS Green Plan Guidance published in February 2025; these are:</w:t>
      </w:r>
    </w:p>
    <w:p w14:paraId="2ABE1334" w14:textId="77777777" w:rsidR="00530CF1" w:rsidRPr="00B81922" w:rsidRDefault="00000000">
      <w:pPr>
        <w:rPr>
          <w:rFonts w:ascii="Arial" w:hAnsi="Arial" w:cs="Arial"/>
        </w:rPr>
      </w:pPr>
      <w:r w:rsidRPr="00B81922">
        <w:rPr>
          <w:rFonts w:ascii="Arial" w:hAnsi="Arial" w:cs="Arial"/>
        </w:rPr>
        <w:t>Assurance and Governance</w:t>
      </w:r>
    </w:p>
    <w:p w14:paraId="58F370C1" w14:textId="77777777" w:rsidR="00530CF1" w:rsidRPr="00B81922" w:rsidRDefault="00000000">
      <w:pPr>
        <w:rPr>
          <w:rFonts w:ascii="Arial" w:hAnsi="Arial" w:cs="Arial"/>
        </w:rPr>
      </w:pPr>
      <w:r w:rsidRPr="00B81922">
        <w:rPr>
          <w:rFonts w:ascii="Arial" w:hAnsi="Arial" w:cs="Arial"/>
        </w:rPr>
        <w:t>Workforce and Leadership</w:t>
      </w:r>
    </w:p>
    <w:p w14:paraId="0E39852B" w14:textId="77777777" w:rsidR="00530CF1" w:rsidRPr="00B81922" w:rsidRDefault="00000000">
      <w:pPr>
        <w:rPr>
          <w:rFonts w:ascii="Arial" w:hAnsi="Arial" w:cs="Arial"/>
        </w:rPr>
      </w:pPr>
      <w:r w:rsidRPr="00B81922">
        <w:rPr>
          <w:rFonts w:ascii="Arial" w:hAnsi="Arial" w:cs="Arial"/>
        </w:rPr>
        <w:t>Net Zero Clinical Transformation</w:t>
      </w:r>
    </w:p>
    <w:p w14:paraId="4FB6690F" w14:textId="77777777" w:rsidR="00530CF1" w:rsidRPr="00B81922" w:rsidRDefault="00000000">
      <w:pPr>
        <w:rPr>
          <w:rFonts w:ascii="Arial" w:hAnsi="Arial" w:cs="Arial"/>
        </w:rPr>
      </w:pPr>
      <w:r w:rsidRPr="00B81922">
        <w:rPr>
          <w:rFonts w:ascii="Arial" w:hAnsi="Arial" w:cs="Arial"/>
        </w:rPr>
        <w:t>Digital Transformation</w:t>
      </w:r>
    </w:p>
    <w:p w14:paraId="23E94542" w14:textId="77777777" w:rsidR="00530CF1" w:rsidRPr="00B81922" w:rsidRDefault="00000000">
      <w:pPr>
        <w:rPr>
          <w:rFonts w:ascii="Arial" w:hAnsi="Arial" w:cs="Arial"/>
        </w:rPr>
      </w:pPr>
      <w:r w:rsidRPr="00B81922">
        <w:rPr>
          <w:rFonts w:ascii="Arial" w:hAnsi="Arial" w:cs="Arial"/>
        </w:rPr>
        <w:t>Medicines</w:t>
      </w:r>
    </w:p>
    <w:p w14:paraId="4712C287" w14:textId="77777777" w:rsidR="00530CF1" w:rsidRPr="00B81922" w:rsidRDefault="00000000">
      <w:pPr>
        <w:rPr>
          <w:rFonts w:ascii="Arial" w:hAnsi="Arial" w:cs="Arial"/>
        </w:rPr>
      </w:pPr>
      <w:r w:rsidRPr="00B81922">
        <w:rPr>
          <w:rFonts w:ascii="Arial" w:hAnsi="Arial" w:cs="Arial"/>
        </w:rPr>
        <w:t>Travel and Transport</w:t>
      </w:r>
    </w:p>
    <w:p w14:paraId="35BD8ECF" w14:textId="77777777" w:rsidR="00530CF1" w:rsidRPr="00B81922" w:rsidRDefault="00000000">
      <w:pPr>
        <w:rPr>
          <w:rFonts w:ascii="Arial" w:hAnsi="Arial" w:cs="Arial"/>
        </w:rPr>
      </w:pPr>
      <w:r w:rsidRPr="00B81922">
        <w:rPr>
          <w:rFonts w:ascii="Arial" w:hAnsi="Arial" w:cs="Arial"/>
        </w:rPr>
        <w:t>Estates and Facilities</w:t>
      </w:r>
    </w:p>
    <w:p w14:paraId="441C65E7" w14:textId="77777777" w:rsidR="00530CF1" w:rsidRPr="00B81922" w:rsidRDefault="00000000">
      <w:pPr>
        <w:rPr>
          <w:rFonts w:ascii="Arial" w:hAnsi="Arial" w:cs="Arial"/>
        </w:rPr>
      </w:pPr>
      <w:r w:rsidRPr="00B81922">
        <w:rPr>
          <w:rFonts w:ascii="Arial" w:hAnsi="Arial" w:cs="Arial"/>
        </w:rPr>
        <w:t>Food and Nutrition</w:t>
      </w:r>
    </w:p>
    <w:p w14:paraId="107E2C6F" w14:textId="77777777" w:rsidR="00530CF1" w:rsidRPr="00B81922" w:rsidRDefault="00000000">
      <w:pPr>
        <w:rPr>
          <w:rFonts w:ascii="Arial" w:hAnsi="Arial" w:cs="Arial"/>
        </w:rPr>
      </w:pPr>
      <w:r w:rsidRPr="00B81922">
        <w:rPr>
          <w:rFonts w:ascii="Arial" w:hAnsi="Arial" w:cs="Arial"/>
        </w:rPr>
        <w:t>Supply Chain and Procurement</w:t>
      </w:r>
    </w:p>
    <w:p w14:paraId="3B320BD6" w14:textId="5C5ACBCC" w:rsidR="00530CF1" w:rsidRPr="00B81922" w:rsidRDefault="00000000">
      <w:pPr>
        <w:rPr>
          <w:rFonts w:ascii="Arial" w:hAnsi="Arial" w:cs="Arial"/>
        </w:rPr>
      </w:pPr>
      <w:r w:rsidRPr="00B81922">
        <w:rPr>
          <w:rFonts w:ascii="Arial" w:hAnsi="Arial" w:cs="Arial"/>
        </w:rPr>
        <w:t>Adaptation</w:t>
      </w:r>
    </w:p>
    <w:p w14:paraId="47C2DC29" w14:textId="22493777" w:rsidR="00530CF1" w:rsidRPr="00B81922" w:rsidRDefault="00000000">
      <w:pPr>
        <w:rPr>
          <w:rFonts w:ascii="Arial" w:hAnsi="Arial" w:cs="Arial"/>
        </w:rPr>
      </w:pPr>
      <w:r w:rsidRPr="00B81922">
        <w:rPr>
          <w:rFonts w:ascii="Arial" w:hAnsi="Arial" w:cs="Arial"/>
        </w:rPr>
        <w:t>Assurance and governance</w:t>
      </w:r>
    </w:p>
    <w:p w14:paraId="1D056AC3" w14:textId="6DE18859" w:rsidR="00530CF1" w:rsidRPr="00B81922" w:rsidRDefault="00000000">
      <w:pPr>
        <w:rPr>
          <w:rFonts w:ascii="Arial" w:hAnsi="Arial" w:cs="Arial"/>
        </w:rPr>
      </w:pPr>
      <w:r w:rsidRPr="00B81922">
        <w:rPr>
          <w:rFonts w:ascii="Arial" w:hAnsi="Arial" w:cs="Arial"/>
        </w:rPr>
        <w:t>The governance of the Green Plan at Humber Teaching NHS Foundation Trust is overseen by a structured and inclusive framework to ensure effective monitoring, accountability, and continuous improvement.</w:t>
      </w:r>
    </w:p>
    <w:p w14:paraId="13001287" w14:textId="0038C069" w:rsidR="00530CF1" w:rsidRPr="00B81922" w:rsidRDefault="00000000">
      <w:pPr>
        <w:rPr>
          <w:rFonts w:ascii="Arial" w:hAnsi="Arial" w:cs="Arial"/>
        </w:rPr>
      </w:pPr>
      <w:r w:rsidRPr="00B81922">
        <w:rPr>
          <w:rFonts w:ascii="Arial" w:hAnsi="Arial" w:cs="Arial"/>
        </w:rPr>
        <w:t>The Executive Director of Finance serves as the Senior Responsible Officer (SRO) for sustainability within the Trust, providing executive-level leadership and strategic oversight.</w:t>
      </w:r>
    </w:p>
    <w:p w14:paraId="04D38EB4" w14:textId="77777777" w:rsidR="00530CF1" w:rsidRPr="00B81922" w:rsidRDefault="00000000">
      <w:pPr>
        <w:rPr>
          <w:rFonts w:ascii="Arial" w:hAnsi="Arial" w:cs="Arial"/>
        </w:rPr>
      </w:pPr>
      <w:r w:rsidRPr="00B81922">
        <w:rPr>
          <w:rFonts w:ascii="Arial" w:hAnsi="Arial" w:cs="Arial"/>
        </w:rPr>
        <w:t xml:space="preserve">Operational responsibility for monitoring the implementation of the Green Plan sits with the Sustainable Development Steering Group (SDSG). This group meets quarterly and </w:t>
      </w:r>
      <w:r w:rsidRPr="00B81922">
        <w:rPr>
          <w:rFonts w:ascii="Arial" w:hAnsi="Arial" w:cs="Arial"/>
        </w:rPr>
        <w:lastRenderedPageBreak/>
        <w:t xml:space="preserve">is chaired by the Projects and Strategic Development Manager, who also serves as the Trust’s energy, environment, and sustainability lead. </w:t>
      </w:r>
    </w:p>
    <w:p w14:paraId="457DCDF0" w14:textId="020302F7" w:rsidR="00530CF1" w:rsidRPr="00B81922" w:rsidRDefault="00000000">
      <w:pPr>
        <w:rPr>
          <w:rFonts w:ascii="Arial" w:hAnsi="Arial" w:cs="Arial"/>
        </w:rPr>
      </w:pPr>
      <w:r w:rsidRPr="00B81922">
        <w:rPr>
          <w:rFonts w:ascii="Arial" w:hAnsi="Arial" w:cs="Arial"/>
        </w:rPr>
        <w:t>The SDSG brings together representatives from all operational divisions and key corporate functions, ensuring a Trust-wide approach to sustainable development.</w:t>
      </w:r>
    </w:p>
    <w:p w14:paraId="1B903B81" w14:textId="0124A2B6" w:rsidR="00530CF1" w:rsidRPr="00B81922" w:rsidRDefault="00000000">
      <w:pPr>
        <w:rPr>
          <w:rFonts w:ascii="Arial" w:hAnsi="Arial" w:cs="Arial"/>
        </w:rPr>
      </w:pPr>
      <w:r w:rsidRPr="00B81922">
        <w:rPr>
          <w:rFonts w:ascii="Arial" w:hAnsi="Arial" w:cs="Arial"/>
        </w:rPr>
        <w:t>The SDSG reports into the Trust’s Operational Delivery Group (ODG), which facilitates alignment with broader operational priorities. In addition, Green Plan progress is formally reported to the Finance Committee and the Executive Management Team (EMT) on a biannual basis, and to the Trust Board annually.</w:t>
      </w:r>
    </w:p>
    <w:p w14:paraId="5F7D0AF4" w14:textId="7582DFBA" w:rsidR="00530CF1" w:rsidRPr="00B81922" w:rsidRDefault="00000000">
      <w:pPr>
        <w:rPr>
          <w:rFonts w:ascii="Arial" w:hAnsi="Arial" w:cs="Arial"/>
        </w:rPr>
      </w:pPr>
      <w:r w:rsidRPr="00B81922">
        <w:rPr>
          <w:rFonts w:ascii="Arial" w:hAnsi="Arial" w:cs="Arial"/>
        </w:rPr>
        <w:t>This governance structure ensures that sustainability remains embedded in the Trust’s strategic decision-making and operational delivery at all levels.</w:t>
      </w:r>
    </w:p>
    <w:p w14:paraId="5B1A0C8E"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11607C3B" w14:textId="77777777" w:rsidR="00530CF1" w:rsidRPr="00B81922" w:rsidRDefault="00000000">
      <w:pPr>
        <w:rPr>
          <w:rFonts w:ascii="Arial" w:hAnsi="Arial" w:cs="Arial"/>
        </w:rPr>
      </w:pPr>
      <w:r w:rsidRPr="00B81922">
        <w:rPr>
          <w:rFonts w:ascii="Arial" w:hAnsi="Arial" w:cs="Arial"/>
        </w:rPr>
        <w:t>• Ensure robust oversight and accountability for the delivery of the Trust Green Plan.</w:t>
      </w:r>
    </w:p>
    <w:p w14:paraId="3D8A9257" w14:textId="77777777" w:rsidR="00530CF1" w:rsidRPr="00B81922" w:rsidRDefault="00000000">
      <w:pPr>
        <w:rPr>
          <w:rFonts w:ascii="Arial" w:hAnsi="Arial" w:cs="Arial"/>
        </w:rPr>
      </w:pPr>
      <w:r w:rsidRPr="00B81922">
        <w:rPr>
          <w:rFonts w:ascii="Arial" w:hAnsi="Arial" w:cs="Arial"/>
        </w:rPr>
        <w:t>• Embed sustainability governance into existing operational and executive structures.</w:t>
      </w:r>
    </w:p>
    <w:p w14:paraId="081CE236" w14:textId="77777777" w:rsidR="00530CF1" w:rsidRPr="00B81922" w:rsidRDefault="00000000">
      <w:pPr>
        <w:rPr>
          <w:rFonts w:ascii="Arial" w:hAnsi="Arial" w:cs="Arial"/>
        </w:rPr>
      </w:pPr>
      <w:r w:rsidRPr="00B81922">
        <w:rPr>
          <w:rFonts w:ascii="Arial" w:hAnsi="Arial" w:cs="Arial"/>
        </w:rPr>
        <w:t>• Promote cross-</w:t>
      </w:r>
      <w:proofErr w:type="spellStart"/>
      <w:r w:rsidRPr="00B81922">
        <w:rPr>
          <w:rFonts w:ascii="Arial" w:hAnsi="Arial" w:cs="Arial"/>
        </w:rPr>
        <w:t>organisation</w:t>
      </w:r>
      <w:proofErr w:type="spellEnd"/>
      <w:r w:rsidRPr="00B81922">
        <w:rPr>
          <w:rFonts w:ascii="Arial" w:hAnsi="Arial" w:cs="Arial"/>
        </w:rPr>
        <w:t xml:space="preserve"> ownership of environmental goals through inclusive representation.</w:t>
      </w:r>
    </w:p>
    <w:p w14:paraId="54A419C8" w14:textId="38CDEAF1" w:rsidR="00530CF1" w:rsidRPr="00B81922" w:rsidRDefault="00000000">
      <w:pPr>
        <w:rPr>
          <w:rFonts w:ascii="Arial" w:hAnsi="Arial" w:cs="Arial"/>
        </w:rPr>
      </w:pPr>
      <w:r w:rsidRPr="00B81922">
        <w:rPr>
          <w:rFonts w:ascii="Arial" w:hAnsi="Arial" w:cs="Arial"/>
        </w:rPr>
        <w:t>• Enable timely, data driven decision making to support Net Zero targets.</w:t>
      </w:r>
    </w:p>
    <w:p w14:paraId="367DF06A"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187CD56C" w14:textId="77777777" w:rsidR="00530CF1" w:rsidRPr="00B81922" w:rsidRDefault="00000000">
      <w:pPr>
        <w:rPr>
          <w:rFonts w:ascii="Arial" w:hAnsi="Arial" w:cs="Arial"/>
        </w:rPr>
      </w:pPr>
      <w:r w:rsidRPr="00B81922">
        <w:rPr>
          <w:rFonts w:ascii="Arial" w:hAnsi="Arial" w:cs="Arial"/>
        </w:rPr>
        <w:t>• SDSG Meeting held in-line with Terms of Reference (</w:t>
      </w:r>
      <w:proofErr w:type="spellStart"/>
      <w:r w:rsidRPr="00B81922">
        <w:rPr>
          <w:rFonts w:ascii="Arial" w:hAnsi="Arial" w:cs="Arial"/>
        </w:rPr>
        <w:t>ToR</w:t>
      </w:r>
      <w:proofErr w:type="spellEnd"/>
      <w:r w:rsidRPr="00B81922">
        <w:rPr>
          <w:rFonts w:ascii="Arial" w:hAnsi="Arial" w:cs="Arial"/>
        </w:rPr>
        <w:t>)</w:t>
      </w:r>
    </w:p>
    <w:p w14:paraId="08144B95" w14:textId="77777777" w:rsidR="00530CF1" w:rsidRPr="00B81922" w:rsidRDefault="00000000">
      <w:pPr>
        <w:rPr>
          <w:rFonts w:ascii="Arial" w:hAnsi="Arial" w:cs="Arial"/>
        </w:rPr>
      </w:pPr>
      <w:r w:rsidRPr="00B81922">
        <w:rPr>
          <w:rFonts w:ascii="Arial" w:hAnsi="Arial" w:cs="Arial"/>
        </w:rPr>
        <w:t>• Green Plan Progress Reports submitted in-line with agreed timescales</w:t>
      </w:r>
    </w:p>
    <w:p w14:paraId="7166834A" w14:textId="4EBAF50B" w:rsidR="00530CF1" w:rsidRPr="00B81922" w:rsidRDefault="00000000">
      <w:pPr>
        <w:rPr>
          <w:rFonts w:ascii="Arial" w:hAnsi="Arial" w:cs="Arial"/>
        </w:rPr>
      </w:pPr>
      <w:r w:rsidRPr="00B81922">
        <w:rPr>
          <w:rFonts w:ascii="Arial" w:hAnsi="Arial" w:cs="Arial"/>
        </w:rPr>
        <w:t>• &gt;85% attendance at SDSG of membership</w:t>
      </w:r>
    </w:p>
    <w:p w14:paraId="04C7A373" w14:textId="77777777" w:rsidR="00530CF1" w:rsidRPr="00257247" w:rsidRDefault="00000000" w:rsidP="005F312C">
      <w:pPr>
        <w:pStyle w:val="Heading2"/>
        <w:rPr>
          <w:color w:val="365F91" w:themeColor="accent1" w:themeShade="BF"/>
        </w:rPr>
      </w:pPr>
      <w:r w:rsidRPr="00257247">
        <w:rPr>
          <w:color w:val="365F91" w:themeColor="accent1" w:themeShade="BF"/>
        </w:rPr>
        <w:t>Roadmap to delivery</w:t>
      </w:r>
    </w:p>
    <w:p w14:paraId="79D6261A"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27809D8C" w14:textId="77777777" w:rsidR="00530CF1" w:rsidRPr="00B81922" w:rsidRDefault="00000000">
      <w:pPr>
        <w:rPr>
          <w:rFonts w:ascii="Arial" w:hAnsi="Arial" w:cs="Arial"/>
        </w:rPr>
      </w:pPr>
      <w:r w:rsidRPr="00B81922">
        <w:rPr>
          <w:rFonts w:ascii="Arial" w:hAnsi="Arial" w:cs="Arial"/>
        </w:rPr>
        <w:t>• Green Plan approve by Trust Board</w:t>
      </w:r>
    </w:p>
    <w:p w14:paraId="0C28BF22" w14:textId="77777777" w:rsidR="00530CF1" w:rsidRPr="00B81922" w:rsidRDefault="00000000">
      <w:pPr>
        <w:rPr>
          <w:rFonts w:ascii="Arial" w:hAnsi="Arial" w:cs="Arial"/>
        </w:rPr>
      </w:pPr>
      <w:r w:rsidRPr="00B81922">
        <w:rPr>
          <w:rFonts w:ascii="Arial" w:hAnsi="Arial" w:cs="Arial"/>
        </w:rPr>
        <w:t xml:space="preserve">• SDSG </w:t>
      </w:r>
      <w:proofErr w:type="spellStart"/>
      <w:r w:rsidRPr="00B81922">
        <w:rPr>
          <w:rFonts w:ascii="Arial" w:hAnsi="Arial" w:cs="Arial"/>
        </w:rPr>
        <w:t>ToR</w:t>
      </w:r>
      <w:proofErr w:type="spellEnd"/>
      <w:r w:rsidRPr="00B81922">
        <w:rPr>
          <w:rFonts w:ascii="Arial" w:hAnsi="Arial" w:cs="Arial"/>
        </w:rPr>
        <w:t xml:space="preserve"> review and update (annually)</w:t>
      </w:r>
    </w:p>
    <w:p w14:paraId="34EC0207" w14:textId="75578A7F" w:rsidR="00530CF1" w:rsidRPr="00B81922" w:rsidRDefault="00000000">
      <w:pPr>
        <w:rPr>
          <w:rFonts w:ascii="Arial" w:hAnsi="Arial" w:cs="Arial"/>
        </w:rPr>
      </w:pPr>
      <w:r w:rsidRPr="00B81922">
        <w:rPr>
          <w:rFonts w:ascii="Arial" w:hAnsi="Arial" w:cs="Arial"/>
        </w:rPr>
        <w:t>• Conduct effectiveness review of SDSG</w:t>
      </w:r>
    </w:p>
    <w:p w14:paraId="5D16955E"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61B005E4" w14:textId="3A6932BB" w:rsidR="00530CF1" w:rsidRPr="00B81922" w:rsidRDefault="00000000">
      <w:pPr>
        <w:rPr>
          <w:rFonts w:ascii="Arial" w:hAnsi="Arial" w:cs="Arial"/>
        </w:rPr>
      </w:pPr>
      <w:r w:rsidRPr="00B81922">
        <w:rPr>
          <w:rFonts w:ascii="Arial" w:hAnsi="Arial" w:cs="Arial"/>
        </w:rPr>
        <w:t>• Formation of a Green Plan communication strategy</w:t>
      </w:r>
    </w:p>
    <w:p w14:paraId="38DEDFB5"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7AF9FC7B" w14:textId="70CC0EDD" w:rsidR="00530CF1" w:rsidRPr="00B81922" w:rsidRDefault="00000000">
      <w:pPr>
        <w:rPr>
          <w:rFonts w:ascii="Arial" w:hAnsi="Arial" w:cs="Arial"/>
        </w:rPr>
      </w:pPr>
      <w:r w:rsidRPr="00B81922">
        <w:rPr>
          <w:rFonts w:ascii="Arial" w:hAnsi="Arial" w:cs="Arial"/>
        </w:rPr>
        <w:t>• Review structure and refine approach in preparation for next Green Plan</w:t>
      </w:r>
    </w:p>
    <w:p w14:paraId="6357FB1C" w14:textId="77777777" w:rsidR="00530CF1" w:rsidRPr="00B81922" w:rsidRDefault="00530CF1">
      <w:pPr>
        <w:rPr>
          <w:rFonts w:ascii="Arial" w:hAnsi="Arial" w:cs="Arial"/>
        </w:rPr>
      </w:pPr>
    </w:p>
    <w:p w14:paraId="414947E6" w14:textId="77777777" w:rsidR="00530CF1" w:rsidRPr="00B81922" w:rsidRDefault="00000000" w:rsidP="005F312C">
      <w:pPr>
        <w:pStyle w:val="Heading1"/>
      </w:pPr>
      <w:r w:rsidRPr="00B81922">
        <w:lastRenderedPageBreak/>
        <w:t>Workforce and leadership</w:t>
      </w:r>
    </w:p>
    <w:p w14:paraId="33581D85" w14:textId="77777777" w:rsidR="00530CF1" w:rsidRPr="00B81922" w:rsidRDefault="00530CF1">
      <w:pPr>
        <w:rPr>
          <w:rFonts w:ascii="Arial" w:hAnsi="Arial" w:cs="Arial"/>
        </w:rPr>
      </w:pPr>
    </w:p>
    <w:p w14:paraId="51749D89" w14:textId="5F6339CE" w:rsidR="00530CF1" w:rsidRPr="00B81922" w:rsidRDefault="00000000">
      <w:pPr>
        <w:rPr>
          <w:rFonts w:ascii="Arial" w:hAnsi="Arial" w:cs="Arial"/>
        </w:rPr>
      </w:pPr>
      <w:r w:rsidRPr="00B81922">
        <w:rPr>
          <w:rFonts w:ascii="Arial" w:hAnsi="Arial" w:cs="Arial"/>
        </w:rPr>
        <w:t xml:space="preserve">Humber Teaching NHS Foundation Trust </w:t>
      </w:r>
      <w:proofErr w:type="spellStart"/>
      <w:r w:rsidRPr="00B81922">
        <w:rPr>
          <w:rFonts w:ascii="Arial" w:hAnsi="Arial" w:cs="Arial"/>
        </w:rPr>
        <w:t>recognises</w:t>
      </w:r>
      <w:proofErr w:type="spellEnd"/>
      <w:r w:rsidRPr="00B81922">
        <w:rPr>
          <w:rFonts w:ascii="Arial" w:hAnsi="Arial" w:cs="Arial"/>
        </w:rPr>
        <w:t xml:space="preserve"> that the delivery of its Green Plan is driven not only by systems and processes but by the people who bring sustainability to life across all levels of the </w:t>
      </w:r>
      <w:proofErr w:type="spellStart"/>
      <w:r w:rsidRPr="00B81922">
        <w:rPr>
          <w:rFonts w:ascii="Arial" w:hAnsi="Arial" w:cs="Arial"/>
        </w:rPr>
        <w:t>organisation</w:t>
      </w:r>
      <w:proofErr w:type="spellEnd"/>
      <w:r w:rsidRPr="00B81922">
        <w:rPr>
          <w:rFonts w:ascii="Arial" w:hAnsi="Arial" w:cs="Arial"/>
        </w:rPr>
        <w:t>. Leadership, empowered networks, and a well-informed workforce are essential to embedding sustainability within the Trust’s culture and day-to-day operations.</w:t>
      </w:r>
    </w:p>
    <w:p w14:paraId="193CBEB1" w14:textId="7CAD880C" w:rsidR="00530CF1" w:rsidRPr="00B81922" w:rsidRDefault="00000000">
      <w:pPr>
        <w:rPr>
          <w:rFonts w:ascii="Arial" w:hAnsi="Arial" w:cs="Arial"/>
        </w:rPr>
      </w:pPr>
      <w:r w:rsidRPr="00B81922">
        <w:rPr>
          <w:rFonts w:ascii="Arial" w:hAnsi="Arial" w:cs="Arial"/>
        </w:rPr>
        <w:t>The Executive Director of Finance acts as the Senior Responsible Officer (SRO) for sustainability, providing strategic oversight and ensuring alignment with Trust-wide objectives. Underpinning this leadership is the Trust’s Green Champions Network, a growing group of engaged staff volunteers from across operational and corporate teams who act as local advocates for change, raise awareness, and support the implementation of sustainable practices at a grassroots level.</w:t>
      </w:r>
    </w:p>
    <w:p w14:paraId="3930376E" w14:textId="28492A00" w:rsidR="00530CF1" w:rsidRPr="00B81922" w:rsidRDefault="00000000">
      <w:pPr>
        <w:rPr>
          <w:rFonts w:ascii="Arial" w:hAnsi="Arial" w:cs="Arial"/>
        </w:rPr>
      </w:pPr>
      <w:r w:rsidRPr="00B81922">
        <w:rPr>
          <w:rFonts w:ascii="Arial" w:hAnsi="Arial" w:cs="Arial"/>
        </w:rPr>
        <w:t>To build sustainability capability across the workforce, the Trust offers access to non-mandatory e-learning modules via the Electronic Staff Record (ESR) system, enabling staff to explore the environmental impacts of healthcare and their role in delivering change. In addition, key Green Plan leads and members of the Sustainable Development Steering Group (SDSG) have completed Carbon Literacy Training, equipping them with the knowledge and confidence to influence, educate, and lead by example.</w:t>
      </w:r>
    </w:p>
    <w:p w14:paraId="56694B58" w14:textId="19DCFC5F" w:rsidR="00530CF1" w:rsidRPr="00B81922" w:rsidRDefault="00000000">
      <w:pPr>
        <w:rPr>
          <w:rFonts w:ascii="Arial" w:hAnsi="Arial" w:cs="Arial"/>
        </w:rPr>
      </w:pPr>
      <w:r w:rsidRPr="00B81922">
        <w:rPr>
          <w:rFonts w:ascii="Arial" w:hAnsi="Arial" w:cs="Arial"/>
        </w:rPr>
        <w:t xml:space="preserve">Together, these elements foster an </w:t>
      </w:r>
      <w:proofErr w:type="spellStart"/>
      <w:r w:rsidRPr="00B81922">
        <w:rPr>
          <w:rFonts w:ascii="Arial" w:hAnsi="Arial" w:cs="Arial"/>
        </w:rPr>
        <w:t>organisational</w:t>
      </w:r>
      <w:proofErr w:type="spellEnd"/>
      <w:r w:rsidRPr="00B81922">
        <w:rPr>
          <w:rFonts w:ascii="Arial" w:hAnsi="Arial" w:cs="Arial"/>
        </w:rPr>
        <w:t xml:space="preserve"> environment where sustainability is embedded into leadership, learning, and professional development.</w:t>
      </w:r>
    </w:p>
    <w:p w14:paraId="207C5360"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5C974CA2" w14:textId="77777777" w:rsidR="00530CF1" w:rsidRPr="00B81922" w:rsidRDefault="00000000">
      <w:pPr>
        <w:rPr>
          <w:rFonts w:ascii="Arial" w:hAnsi="Arial" w:cs="Arial"/>
        </w:rPr>
      </w:pPr>
      <w:r w:rsidRPr="00B81922">
        <w:rPr>
          <w:rFonts w:ascii="Arial" w:hAnsi="Arial" w:cs="Arial"/>
        </w:rPr>
        <w:t xml:space="preserve">• Promote sustainable leadership across all levels of the </w:t>
      </w:r>
      <w:proofErr w:type="spellStart"/>
      <w:r w:rsidRPr="00B81922">
        <w:rPr>
          <w:rFonts w:ascii="Arial" w:hAnsi="Arial" w:cs="Arial"/>
        </w:rPr>
        <w:t>organisation</w:t>
      </w:r>
      <w:proofErr w:type="spellEnd"/>
    </w:p>
    <w:p w14:paraId="3363DCFC" w14:textId="77777777" w:rsidR="00530CF1" w:rsidRPr="00B81922" w:rsidRDefault="00000000">
      <w:pPr>
        <w:rPr>
          <w:rFonts w:ascii="Arial" w:hAnsi="Arial" w:cs="Arial"/>
        </w:rPr>
      </w:pPr>
      <w:r w:rsidRPr="00B81922">
        <w:rPr>
          <w:rFonts w:ascii="Arial" w:hAnsi="Arial" w:cs="Arial"/>
        </w:rPr>
        <w:t xml:space="preserve">• Empower staff to </w:t>
      </w:r>
      <w:proofErr w:type="gramStart"/>
      <w:r w:rsidRPr="00B81922">
        <w:rPr>
          <w:rFonts w:ascii="Arial" w:hAnsi="Arial" w:cs="Arial"/>
        </w:rPr>
        <w:t>take action</w:t>
      </w:r>
      <w:proofErr w:type="gramEnd"/>
      <w:r w:rsidRPr="00B81922">
        <w:rPr>
          <w:rFonts w:ascii="Arial" w:hAnsi="Arial" w:cs="Arial"/>
        </w:rPr>
        <w:t xml:space="preserve"> on climate change and environmental issues through knowledge, networks, and training</w:t>
      </w:r>
    </w:p>
    <w:p w14:paraId="19218C3C" w14:textId="77777777" w:rsidR="00530CF1" w:rsidRPr="00B81922" w:rsidRDefault="00000000">
      <w:pPr>
        <w:rPr>
          <w:rFonts w:ascii="Arial" w:hAnsi="Arial" w:cs="Arial"/>
        </w:rPr>
      </w:pPr>
      <w:r w:rsidRPr="00B81922">
        <w:rPr>
          <w:rFonts w:ascii="Arial" w:hAnsi="Arial" w:cs="Arial"/>
        </w:rPr>
        <w:t>• Build sustainability literacy and capacity across clinical, non-clinical, and corporate teams</w:t>
      </w:r>
    </w:p>
    <w:p w14:paraId="21E83A74" w14:textId="4DCA8F18" w:rsidR="00530CF1" w:rsidRPr="00B81922" w:rsidRDefault="00000000">
      <w:pPr>
        <w:rPr>
          <w:rFonts w:ascii="Arial" w:hAnsi="Arial" w:cs="Arial"/>
        </w:rPr>
      </w:pPr>
      <w:r w:rsidRPr="00B81922">
        <w:rPr>
          <w:rFonts w:ascii="Arial" w:hAnsi="Arial" w:cs="Arial"/>
        </w:rPr>
        <w:t>• Strengthen local ownership and accountability for the delivery of the Green Plan objectives.</w:t>
      </w:r>
    </w:p>
    <w:p w14:paraId="65172A3D"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44BC458B" w14:textId="77777777" w:rsidR="00530CF1" w:rsidRPr="00B81922" w:rsidRDefault="00000000">
      <w:pPr>
        <w:rPr>
          <w:rFonts w:ascii="Arial" w:hAnsi="Arial" w:cs="Arial"/>
        </w:rPr>
      </w:pPr>
      <w:r w:rsidRPr="00B81922">
        <w:rPr>
          <w:rFonts w:ascii="Arial" w:hAnsi="Arial" w:cs="Arial"/>
        </w:rPr>
        <w:t>• Number of active members in the Green Champion Network</w:t>
      </w:r>
    </w:p>
    <w:p w14:paraId="05C4C81B" w14:textId="77777777" w:rsidR="00530CF1" w:rsidRPr="00B81922" w:rsidRDefault="00000000">
      <w:pPr>
        <w:rPr>
          <w:rFonts w:ascii="Arial" w:hAnsi="Arial" w:cs="Arial"/>
        </w:rPr>
      </w:pPr>
      <w:r w:rsidRPr="00B81922">
        <w:rPr>
          <w:rFonts w:ascii="Arial" w:hAnsi="Arial" w:cs="Arial"/>
        </w:rPr>
        <w:t>• Percentage of SDSG members and Green Plan leads who are Carbon Literacy Certified</w:t>
      </w:r>
    </w:p>
    <w:p w14:paraId="693D68C8" w14:textId="77777777" w:rsidR="00530CF1" w:rsidRPr="00B81922" w:rsidRDefault="00000000">
      <w:pPr>
        <w:rPr>
          <w:rFonts w:ascii="Arial" w:hAnsi="Arial" w:cs="Arial"/>
        </w:rPr>
      </w:pPr>
      <w:r w:rsidRPr="00B81922">
        <w:rPr>
          <w:rFonts w:ascii="Arial" w:hAnsi="Arial" w:cs="Arial"/>
        </w:rPr>
        <w:t>• Uptake of non-mandatory ESR sustainability e-learning</w:t>
      </w:r>
    </w:p>
    <w:p w14:paraId="6642D000" w14:textId="6EE0699A" w:rsidR="00530CF1" w:rsidRPr="00B81922" w:rsidRDefault="00000000">
      <w:pPr>
        <w:rPr>
          <w:rFonts w:ascii="Arial" w:hAnsi="Arial" w:cs="Arial"/>
        </w:rPr>
      </w:pPr>
      <w:r w:rsidRPr="00B81922">
        <w:rPr>
          <w:rFonts w:ascii="Arial" w:hAnsi="Arial" w:cs="Arial"/>
        </w:rPr>
        <w:lastRenderedPageBreak/>
        <w:t>• Number of sustainability-themed engagement events, workshops, or communications delivered annually</w:t>
      </w:r>
    </w:p>
    <w:p w14:paraId="2C328C28" w14:textId="77777777" w:rsidR="00530CF1" w:rsidRPr="00257247" w:rsidRDefault="00000000" w:rsidP="005F312C">
      <w:pPr>
        <w:pStyle w:val="Heading2"/>
        <w:rPr>
          <w:color w:val="365F91" w:themeColor="accent1" w:themeShade="BF"/>
        </w:rPr>
      </w:pPr>
      <w:r w:rsidRPr="00257247">
        <w:rPr>
          <w:color w:val="365F91" w:themeColor="accent1" w:themeShade="BF"/>
        </w:rPr>
        <w:t>Roadmap to delivery</w:t>
      </w:r>
    </w:p>
    <w:p w14:paraId="2A37B38C"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35EFD39B" w14:textId="77777777" w:rsidR="00530CF1" w:rsidRPr="00B81922" w:rsidRDefault="00000000">
      <w:pPr>
        <w:rPr>
          <w:rFonts w:ascii="Arial" w:hAnsi="Arial" w:cs="Arial"/>
        </w:rPr>
      </w:pPr>
      <w:r w:rsidRPr="00B81922">
        <w:rPr>
          <w:rFonts w:ascii="Arial" w:hAnsi="Arial" w:cs="Arial"/>
        </w:rPr>
        <w:t>• Launch campaign to grow the Green Champions Network</w:t>
      </w:r>
    </w:p>
    <w:p w14:paraId="2833873A" w14:textId="324029A3" w:rsidR="00530CF1" w:rsidRPr="00B81922" w:rsidRDefault="00000000">
      <w:pPr>
        <w:rPr>
          <w:rFonts w:ascii="Arial" w:hAnsi="Arial" w:cs="Arial"/>
        </w:rPr>
      </w:pPr>
      <w:r w:rsidRPr="00B81922">
        <w:rPr>
          <w:rFonts w:ascii="Arial" w:hAnsi="Arial" w:cs="Arial"/>
        </w:rPr>
        <w:t>• Promote availability of ESR sustainability e-learning</w:t>
      </w:r>
    </w:p>
    <w:p w14:paraId="5BD78832"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7690D4FB" w14:textId="77777777" w:rsidR="00530CF1" w:rsidRPr="00B81922" w:rsidRDefault="00000000">
      <w:pPr>
        <w:rPr>
          <w:rFonts w:ascii="Arial" w:hAnsi="Arial" w:cs="Arial"/>
        </w:rPr>
      </w:pPr>
      <w:r w:rsidRPr="00B81922">
        <w:rPr>
          <w:rFonts w:ascii="Arial" w:hAnsi="Arial" w:cs="Arial"/>
        </w:rPr>
        <w:t>• Identify and nominate additional SDSG member for Carbon Literacy Training</w:t>
      </w:r>
    </w:p>
    <w:p w14:paraId="2DFEDC32" w14:textId="628A333F" w:rsidR="00530CF1" w:rsidRPr="00B81922" w:rsidRDefault="00000000">
      <w:pPr>
        <w:rPr>
          <w:rFonts w:ascii="Arial" w:hAnsi="Arial" w:cs="Arial"/>
        </w:rPr>
      </w:pPr>
      <w:r w:rsidRPr="00B81922">
        <w:rPr>
          <w:rFonts w:ascii="Arial" w:hAnsi="Arial" w:cs="Arial"/>
        </w:rPr>
        <w:t>• Begin tracking ESR training uptake, and report via a dashboard</w:t>
      </w:r>
    </w:p>
    <w:p w14:paraId="25523C23"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5ED9D99D" w14:textId="77777777" w:rsidR="00530CF1" w:rsidRPr="00B81922" w:rsidRDefault="00000000">
      <w:pPr>
        <w:rPr>
          <w:rFonts w:ascii="Arial" w:hAnsi="Arial" w:cs="Arial"/>
        </w:rPr>
      </w:pPr>
      <w:r w:rsidRPr="00B81922">
        <w:rPr>
          <w:rFonts w:ascii="Arial" w:hAnsi="Arial" w:cs="Arial"/>
        </w:rPr>
        <w:t>• Evaluate the impact of workforce engagement initiatives on Green Plan Delivery</w:t>
      </w:r>
    </w:p>
    <w:p w14:paraId="146F7255" w14:textId="6ADCDA57" w:rsidR="00530CF1" w:rsidRPr="00B81922" w:rsidRDefault="00000000">
      <w:pPr>
        <w:rPr>
          <w:rFonts w:ascii="Arial" w:hAnsi="Arial" w:cs="Arial"/>
        </w:rPr>
      </w:pPr>
      <w:r w:rsidRPr="00B81922">
        <w:rPr>
          <w:rFonts w:ascii="Arial" w:hAnsi="Arial" w:cs="Arial"/>
        </w:rPr>
        <w:t>• Refine training and leadership development offer in preparation for the next Green Plan cycle</w:t>
      </w:r>
    </w:p>
    <w:p w14:paraId="1281E4C6" w14:textId="77777777" w:rsidR="00530CF1" w:rsidRPr="00B81922" w:rsidRDefault="00530CF1">
      <w:pPr>
        <w:rPr>
          <w:rFonts w:ascii="Arial" w:hAnsi="Arial" w:cs="Arial"/>
        </w:rPr>
      </w:pPr>
    </w:p>
    <w:p w14:paraId="4D1EAC20" w14:textId="35B12F5F" w:rsidR="00530CF1" w:rsidRPr="00B81922" w:rsidRDefault="00000000" w:rsidP="005F312C">
      <w:pPr>
        <w:pStyle w:val="Heading1"/>
      </w:pPr>
      <w:r w:rsidRPr="00B81922">
        <w:t>Net Zero clinical transformation</w:t>
      </w:r>
    </w:p>
    <w:p w14:paraId="15672049" w14:textId="69731B69" w:rsidR="00530CF1" w:rsidRPr="00B81922" w:rsidRDefault="00000000">
      <w:pPr>
        <w:rPr>
          <w:rFonts w:ascii="Arial" w:hAnsi="Arial" w:cs="Arial"/>
        </w:rPr>
      </w:pPr>
      <w:r w:rsidRPr="00B81922">
        <w:rPr>
          <w:rFonts w:ascii="Arial" w:hAnsi="Arial" w:cs="Arial"/>
        </w:rPr>
        <w:t xml:space="preserve">Humber Teaching NHS Foundation Trust </w:t>
      </w:r>
      <w:proofErr w:type="spellStart"/>
      <w:r w:rsidRPr="00B81922">
        <w:rPr>
          <w:rFonts w:ascii="Arial" w:hAnsi="Arial" w:cs="Arial"/>
        </w:rPr>
        <w:t>recognises</w:t>
      </w:r>
      <w:proofErr w:type="spellEnd"/>
      <w:r w:rsidRPr="00B81922">
        <w:rPr>
          <w:rFonts w:ascii="Arial" w:hAnsi="Arial" w:cs="Arial"/>
        </w:rPr>
        <w:t xml:space="preserve"> that delivering high-quality, sustainable healthcare requires the transformation of clinical services in line with Net Zero principles. The integration of environmentally conscious decision-making into clinical models, care pathways, and service redesign is a vital component of the Trust’s Green Plan.</w:t>
      </w:r>
    </w:p>
    <w:p w14:paraId="4576A09A" w14:textId="7FEF8B6B" w:rsidR="00530CF1" w:rsidRPr="00B81922" w:rsidRDefault="00000000">
      <w:pPr>
        <w:rPr>
          <w:rFonts w:ascii="Arial" w:hAnsi="Arial" w:cs="Arial"/>
        </w:rPr>
      </w:pPr>
      <w:r w:rsidRPr="00B81922">
        <w:rPr>
          <w:rFonts w:ascii="Arial" w:hAnsi="Arial" w:cs="Arial"/>
        </w:rPr>
        <w:t>Representatives from all clinical divisions are active members of the Sustainable Development Steering Group (SDSG), supporting local engagement and alignment. However, the Trust also acknowledges the need to strengthen formal oversight of Net Zero clinical transformation, ensuring clear links to Board-level leadership and governance. Embedding sustainability into clinical strategy will ensure that environmental impact is considered alongside quality, safety, and outcomes.</w:t>
      </w:r>
    </w:p>
    <w:p w14:paraId="4B05A58D" w14:textId="23C486E0" w:rsidR="00530CF1" w:rsidRPr="00B81922" w:rsidRDefault="00000000">
      <w:pPr>
        <w:rPr>
          <w:rFonts w:ascii="Arial" w:hAnsi="Arial" w:cs="Arial"/>
        </w:rPr>
      </w:pPr>
      <w:r w:rsidRPr="00B81922">
        <w:rPr>
          <w:rFonts w:ascii="Arial" w:hAnsi="Arial" w:cs="Arial"/>
        </w:rPr>
        <w:t xml:space="preserve">The Trust is committed to applying Net Zero principles across all service change, reconfiguration </w:t>
      </w:r>
      <w:proofErr w:type="spellStart"/>
      <w:r w:rsidRPr="00B81922">
        <w:rPr>
          <w:rFonts w:ascii="Arial" w:hAnsi="Arial" w:cs="Arial"/>
        </w:rPr>
        <w:t>programmes</w:t>
      </w:r>
      <w:proofErr w:type="spellEnd"/>
      <w:r w:rsidRPr="00B81922">
        <w:rPr>
          <w:rFonts w:ascii="Arial" w:hAnsi="Arial" w:cs="Arial"/>
        </w:rPr>
        <w:t>, and care pathway redesigns. This includes reducing unnecessary interventions, avoiding duplication, embracing digital-first approaches where clinically appropriate, and enhancing social prescribing to support population health and reduce demand on traditional clinical services.</w:t>
      </w:r>
    </w:p>
    <w:p w14:paraId="32194EC2" w14:textId="457714B8" w:rsidR="00530CF1" w:rsidRPr="00B81922" w:rsidRDefault="00000000">
      <w:pPr>
        <w:rPr>
          <w:rFonts w:ascii="Arial" w:hAnsi="Arial" w:cs="Arial"/>
        </w:rPr>
      </w:pPr>
      <w:r w:rsidRPr="00B81922">
        <w:rPr>
          <w:rFonts w:ascii="Arial" w:hAnsi="Arial" w:cs="Arial"/>
        </w:rPr>
        <w:t xml:space="preserve">The Green Champions Network plays a vital role in promoting sustainable clinical practices at the frontline, while staff are encouraged to access non-mandatory </w:t>
      </w:r>
      <w:r w:rsidRPr="00B81922">
        <w:rPr>
          <w:rFonts w:ascii="Arial" w:hAnsi="Arial" w:cs="Arial"/>
        </w:rPr>
        <w:lastRenderedPageBreak/>
        <w:t>sustainability training via ESR, equipping them to make environmentally informed decisions in everyday clinical activity.</w:t>
      </w:r>
    </w:p>
    <w:p w14:paraId="0FEF2E63"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65D3517F" w14:textId="77777777" w:rsidR="00530CF1" w:rsidRPr="00B81922" w:rsidRDefault="00000000">
      <w:pPr>
        <w:rPr>
          <w:rFonts w:ascii="Arial" w:hAnsi="Arial" w:cs="Arial"/>
        </w:rPr>
      </w:pPr>
      <w:r w:rsidRPr="00B81922">
        <w:rPr>
          <w:rFonts w:ascii="Arial" w:hAnsi="Arial" w:cs="Arial"/>
        </w:rPr>
        <w:t>• Embed Net Zero thinking into all clinical transformation, service redesign, and pathway development</w:t>
      </w:r>
    </w:p>
    <w:p w14:paraId="76EA648D" w14:textId="77777777" w:rsidR="00530CF1" w:rsidRPr="00B81922" w:rsidRDefault="00000000">
      <w:pPr>
        <w:rPr>
          <w:rFonts w:ascii="Arial" w:hAnsi="Arial" w:cs="Arial"/>
        </w:rPr>
      </w:pPr>
      <w:r w:rsidRPr="00B81922">
        <w:rPr>
          <w:rFonts w:ascii="Arial" w:hAnsi="Arial" w:cs="Arial"/>
        </w:rPr>
        <w:t>• Establish formal governance links to support clinical sustainability at Board Level.</w:t>
      </w:r>
    </w:p>
    <w:p w14:paraId="19207940" w14:textId="77777777" w:rsidR="00530CF1" w:rsidRPr="00B81922" w:rsidRDefault="00000000">
      <w:pPr>
        <w:rPr>
          <w:rFonts w:ascii="Arial" w:hAnsi="Arial" w:cs="Arial"/>
        </w:rPr>
      </w:pPr>
      <w:r w:rsidRPr="00B81922">
        <w:rPr>
          <w:rFonts w:ascii="Arial" w:hAnsi="Arial" w:cs="Arial"/>
        </w:rPr>
        <w:t>• Promote low-carbon models of care through innovation, digital transformation, and preventative approaches such as social prescribing</w:t>
      </w:r>
    </w:p>
    <w:p w14:paraId="3C62109F" w14:textId="0462AC6A" w:rsidR="00530CF1" w:rsidRPr="00B81922" w:rsidRDefault="00000000">
      <w:pPr>
        <w:rPr>
          <w:rFonts w:ascii="Arial" w:hAnsi="Arial" w:cs="Arial"/>
        </w:rPr>
      </w:pPr>
      <w:r w:rsidRPr="00B81922">
        <w:rPr>
          <w:rFonts w:ascii="Arial" w:hAnsi="Arial" w:cs="Arial"/>
        </w:rPr>
        <w:t>• Empower clinicians to champion sustainability through training and local advocacy</w:t>
      </w:r>
    </w:p>
    <w:p w14:paraId="19247CDB"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27D68FEA" w14:textId="77777777" w:rsidR="00530CF1" w:rsidRPr="00B81922" w:rsidRDefault="00000000">
      <w:pPr>
        <w:rPr>
          <w:rFonts w:ascii="Arial" w:hAnsi="Arial" w:cs="Arial"/>
        </w:rPr>
      </w:pPr>
      <w:r w:rsidRPr="00B81922">
        <w:rPr>
          <w:rFonts w:ascii="Arial" w:hAnsi="Arial" w:cs="Arial"/>
        </w:rPr>
        <w:t>• Proportion of service change or pathway redesign proposal that include a sustainability impact assessment</w:t>
      </w:r>
    </w:p>
    <w:p w14:paraId="6D5BB9E1" w14:textId="77777777" w:rsidR="00530CF1" w:rsidRPr="00B81922" w:rsidRDefault="00000000">
      <w:pPr>
        <w:rPr>
          <w:rFonts w:ascii="Arial" w:hAnsi="Arial" w:cs="Arial"/>
        </w:rPr>
      </w:pPr>
      <w:r w:rsidRPr="00B81922">
        <w:rPr>
          <w:rFonts w:ascii="Arial" w:hAnsi="Arial" w:cs="Arial"/>
        </w:rPr>
        <w:t>• Establish a Board-</w:t>
      </w:r>
      <w:proofErr w:type="spellStart"/>
      <w:r w:rsidRPr="00B81922">
        <w:rPr>
          <w:rFonts w:ascii="Arial" w:hAnsi="Arial" w:cs="Arial"/>
        </w:rPr>
        <w:t>recognised</w:t>
      </w:r>
      <w:proofErr w:type="spellEnd"/>
      <w:r w:rsidRPr="00B81922">
        <w:rPr>
          <w:rFonts w:ascii="Arial" w:hAnsi="Arial" w:cs="Arial"/>
        </w:rPr>
        <w:t xml:space="preserve"> Net Zero </w:t>
      </w:r>
      <w:proofErr w:type="spellStart"/>
      <w:r w:rsidRPr="00B81922">
        <w:rPr>
          <w:rFonts w:ascii="Arial" w:hAnsi="Arial" w:cs="Arial"/>
        </w:rPr>
        <w:t>Clincal</w:t>
      </w:r>
      <w:proofErr w:type="spellEnd"/>
      <w:r w:rsidRPr="00B81922">
        <w:rPr>
          <w:rFonts w:ascii="Arial" w:hAnsi="Arial" w:cs="Arial"/>
        </w:rPr>
        <w:t xml:space="preserve"> Transformation oversight mechanism</w:t>
      </w:r>
    </w:p>
    <w:p w14:paraId="72F6DD94" w14:textId="77777777" w:rsidR="00530CF1" w:rsidRPr="00B81922" w:rsidRDefault="00000000">
      <w:pPr>
        <w:rPr>
          <w:rFonts w:ascii="Arial" w:hAnsi="Arial" w:cs="Arial"/>
        </w:rPr>
      </w:pPr>
      <w:r w:rsidRPr="00B81922">
        <w:rPr>
          <w:rFonts w:ascii="Arial" w:hAnsi="Arial" w:cs="Arial"/>
        </w:rPr>
        <w:t>• Uptake of ESR sustainability e-learning among clinical staff</w:t>
      </w:r>
    </w:p>
    <w:p w14:paraId="15147754" w14:textId="587D229E" w:rsidR="00530CF1" w:rsidRPr="00B81922" w:rsidRDefault="00000000">
      <w:pPr>
        <w:rPr>
          <w:rFonts w:ascii="Arial" w:hAnsi="Arial" w:cs="Arial"/>
        </w:rPr>
      </w:pPr>
      <w:r w:rsidRPr="00B81922">
        <w:rPr>
          <w:rFonts w:ascii="Arial" w:hAnsi="Arial" w:cs="Arial"/>
        </w:rPr>
        <w:t>• Green Champions from clinical roles engaged in pathway redesign workstreams</w:t>
      </w:r>
    </w:p>
    <w:p w14:paraId="4D329E64" w14:textId="77777777" w:rsidR="00530CF1" w:rsidRPr="00257247" w:rsidRDefault="00000000" w:rsidP="005F312C">
      <w:pPr>
        <w:pStyle w:val="Heading2"/>
        <w:rPr>
          <w:color w:val="365F91" w:themeColor="accent1" w:themeShade="BF"/>
        </w:rPr>
      </w:pPr>
      <w:r w:rsidRPr="00257247">
        <w:rPr>
          <w:color w:val="365F91" w:themeColor="accent1" w:themeShade="BF"/>
        </w:rPr>
        <w:t>Roadmap to delivery</w:t>
      </w:r>
    </w:p>
    <w:p w14:paraId="29F34A1B"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756EB73C" w14:textId="77777777" w:rsidR="00530CF1" w:rsidRPr="00B81922" w:rsidRDefault="00000000">
      <w:pPr>
        <w:rPr>
          <w:rFonts w:ascii="Arial" w:hAnsi="Arial" w:cs="Arial"/>
        </w:rPr>
      </w:pPr>
      <w:r w:rsidRPr="00B81922">
        <w:rPr>
          <w:rFonts w:ascii="Arial" w:hAnsi="Arial" w:cs="Arial"/>
        </w:rPr>
        <w:t>• Ensure clinical input into all SDSG workstreams, with focus on high-impact areas</w:t>
      </w:r>
    </w:p>
    <w:p w14:paraId="2FD2463B" w14:textId="53A5E582" w:rsidR="00530CF1" w:rsidRPr="00B81922" w:rsidRDefault="00000000">
      <w:pPr>
        <w:rPr>
          <w:rFonts w:ascii="Arial" w:hAnsi="Arial" w:cs="Arial"/>
        </w:rPr>
      </w:pPr>
      <w:r w:rsidRPr="00B81922">
        <w:rPr>
          <w:rFonts w:ascii="Arial" w:hAnsi="Arial" w:cs="Arial"/>
        </w:rPr>
        <w:t>• Initiate mapping of high-impact clinical pathways for potential low-carbon redesign</w:t>
      </w:r>
    </w:p>
    <w:p w14:paraId="30DD154F"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2C87434E" w14:textId="77777777" w:rsidR="00530CF1" w:rsidRPr="00B81922" w:rsidRDefault="00000000">
      <w:pPr>
        <w:rPr>
          <w:rFonts w:ascii="Arial" w:hAnsi="Arial" w:cs="Arial"/>
        </w:rPr>
      </w:pPr>
      <w:r w:rsidRPr="00B81922">
        <w:rPr>
          <w:rFonts w:ascii="Arial" w:hAnsi="Arial" w:cs="Arial"/>
        </w:rPr>
        <w:t>• Begin integrating sustainability impact assessments into clinical project templates</w:t>
      </w:r>
    </w:p>
    <w:p w14:paraId="62F9DCFF" w14:textId="1E628B76" w:rsidR="00530CF1" w:rsidRPr="00B81922" w:rsidRDefault="00000000">
      <w:pPr>
        <w:rPr>
          <w:rFonts w:ascii="Arial" w:hAnsi="Arial" w:cs="Arial"/>
        </w:rPr>
      </w:pPr>
      <w:r w:rsidRPr="00B81922">
        <w:rPr>
          <w:rFonts w:ascii="Arial" w:hAnsi="Arial" w:cs="Arial"/>
        </w:rPr>
        <w:t>• Monitor inclusion of sustainability in business cased for all clinical reconfiguration projects</w:t>
      </w:r>
    </w:p>
    <w:p w14:paraId="26A01CC6"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306A218A" w14:textId="458D0289" w:rsidR="00530CF1" w:rsidRPr="00B81922" w:rsidRDefault="00000000">
      <w:pPr>
        <w:rPr>
          <w:rFonts w:ascii="Arial" w:hAnsi="Arial" w:cs="Arial"/>
        </w:rPr>
      </w:pPr>
      <w:r w:rsidRPr="00B81922">
        <w:rPr>
          <w:rFonts w:ascii="Arial" w:hAnsi="Arial" w:cs="Arial"/>
        </w:rPr>
        <w:t>• Evaluate Net Zero-aligned pathway redesigns on both clinical outcomes and environmental metrics</w:t>
      </w:r>
    </w:p>
    <w:p w14:paraId="7295815F" w14:textId="77777777" w:rsidR="00530CF1" w:rsidRPr="00B81922" w:rsidRDefault="00530CF1">
      <w:pPr>
        <w:rPr>
          <w:rFonts w:ascii="Arial" w:hAnsi="Arial" w:cs="Arial"/>
        </w:rPr>
      </w:pPr>
    </w:p>
    <w:p w14:paraId="15F8EEC7" w14:textId="4DA72559" w:rsidR="00530CF1" w:rsidRPr="00B81922" w:rsidRDefault="00000000" w:rsidP="005F312C">
      <w:pPr>
        <w:pStyle w:val="Heading1"/>
      </w:pPr>
      <w:r w:rsidRPr="00B81922">
        <w:t>Digital transformation</w:t>
      </w:r>
    </w:p>
    <w:p w14:paraId="66ED5EEC" w14:textId="52912C25" w:rsidR="00530CF1" w:rsidRPr="00B81922" w:rsidRDefault="00000000">
      <w:pPr>
        <w:rPr>
          <w:rFonts w:ascii="Arial" w:hAnsi="Arial" w:cs="Arial"/>
        </w:rPr>
      </w:pPr>
      <w:r w:rsidRPr="00B81922">
        <w:rPr>
          <w:rFonts w:ascii="Arial" w:hAnsi="Arial" w:cs="Arial"/>
        </w:rPr>
        <w:t xml:space="preserve">Humber Teaching NHS Foundation Trust </w:t>
      </w:r>
      <w:proofErr w:type="spellStart"/>
      <w:r w:rsidRPr="00B81922">
        <w:rPr>
          <w:rFonts w:ascii="Arial" w:hAnsi="Arial" w:cs="Arial"/>
        </w:rPr>
        <w:t>recognises</w:t>
      </w:r>
      <w:proofErr w:type="spellEnd"/>
      <w:r w:rsidRPr="00B81922">
        <w:rPr>
          <w:rFonts w:ascii="Arial" w:hAnsi="Arial" w:cs="Arial"/>
        </w:rPr>
        <w:t xml:space="preserve"> the significant role digital transformation plays in supporting the delivery of a sustainable, low-carbon health system. </w:t>
      </w:r>
    </w:p>
    <w:p w14:paraId="567E4C16" w14:textId="2050B089" w:rsidR="00530CF1" w:rsidRPr="00B81922" w:rsidRDefault="00000000">
      <w:pPr>
        <w:rPr>
          <w:rFonts w:ascii="Arial" w:hAnsi="Arial" w:cs="Arial"/>
        </w:rPr>
      </w:pPr>
      <w:r w:rsidRPr="00B81922">
        <w:rPr>
          <w:rFonts w:ascii="Arial" w:hAnsi="Arial" w:cs="Arial"/>
        </w:rPr>
        <w:lastRenderedPageBreak/>
        <w:t>Through the implementation of smart technologies, efficient digital infrastructure, and virtual care pathways, the Trust aims to reduce its environmental impact while improving patient outcomes and operational resilience.</w:t>
      </w:r>
    </w:p>
    <w:p w14:paraId="34FB29F1" w14:textId="26576002" w:rsidR="00530CF1" w:rsidRPr="00B81922" w:rsidRDefault="00000000">
      <w:pPr>
        <w:rPr>
          <w:rFonts w:ascii="Arial" w:hAnsi="Arial" w:cs="Arial"/>
        </w:rPr>
      </w:pPr>
      <w:r w:rsidRPr="00B81922">
        <w:rPr>
          <w:rFonts w:ascii="Arial" w:hAnsi="Arial" w:cs="Arial"/>
        </w:rPr>
        <w:t xml:space="preserve">The Digital Data Group (DDG) holds responsibility for the oversight, direction, and assurance of the Trust’s Digital Plan. Reporting into the </w:t>
      </w:r>
      <w:proofErr w:type="spellStart"/>
      <w:r w:rsidRPr="00B81922">
        <w:rPr>
          <w:rFonts w:ascii="Arial" w:hAnsi="Arial" w:cs="Arial"/>
        </w:rPr>
        <w:t>BeDigital</w:t>
      </w:r>
      <w:proofErr w:type="spellEnd"/>
      <w:r w:rsidRPr="00B81922">
        <w:rPr>
          <w:rFonts w:ascii="Arial" w:hAnsi="Arial" w:cs="Arial"/>
        </w:rPr>
        <w:t xml:space="preserve"> Group (BDG), the DDG ensures that digital services are aligned with strategic sustainability objectives. Core responsibilities include identifying digital innovations that enhance patient care, improving the use of business intelligence for better decision-making, and ensuring that appropriate infrastructure is in place to deliver safe, digitally enabled services.</w:t>
      </w:r>
    </w:p>
    <w:p w14:paraId="5E2FF830" w14:textId="010AFB08" w:rsidR="00530CF1" w:rsidRPr="00B81922" w:rsidRDefault="00000000">
      <w:pPr>
        <w:rPr>
          <w:rFonts w:ascii="Arial" w:hAnsi="Arial" w:cs="Arial"/>
        </w:rPr>
      </w:pPr>
      <w:r w:rsidRPr="00B81922">
        <w:rPr>
          <w:rFonts w:ascii="Arial" w:hAnsi="Arial" w:cs="Arial"/>
        </w:rPr>
        <w:t xml:space="preserve">Informed by the Digital Maturity Assessment and supported by national guidance such as the UK Government’s Sustainable Technology Advice &amp; Reporting (STAR) and the Technology Code of Practice, the Trust is committed to embedding sustainability throughout its digital commissioning lifecycle. This includes establishing a baseline ICT carbon footprint, </w:t>
      </w:r>
      <w:proofErr w:type="spellStart"/>
      <w:r w:rsidRPr="00B81922">
        <w:rPr>
          <w:rFonts w:ascii="Arial" w:hAnsi="Arial" w:cs="Arial"/>
        </w:rPr>
        <w:t>prioritising</w:t>
      </w:r>
      <w:proofErr w:type="spellEnd"/>
      <w:r w:rsidRPr="00B81922">
        <w:rPr>
          <w:rFonts w:ascii="Arial" w:hAnsi="Arial" w:cs="Arial"/>
        </w:rPr>
        <w:t xml:space="preserve"> the procurement of low-power equipment, deploying “</w:t>
      </w:r>
      <w:proofErr w:type="spellStart"/>
      <w:r w:rsidRPr="00B81922">
        <w:rPr>
          <w:rFonts w:ascii="Arial" w:hAnsi="Arial" w:cs="Arial"/>
        </w:rPr>
        <w:t>powerdown</w:t>
      </w:r>
      <w:proofErr w:type="spellEnd"/>
      <w:r w:rsidRPr="00B81922">
        <w:rPr>
          <w:rFonts w:ascii="Arial" w:hAnsi="Arial" w:cs="Arial"/>
        </w:rPr>
        <w:t>” software to reduce energy consumption, and ensuring data is hosted in low-carbon, energy-efficient environments.</w:t>
      </w:r>
    </w:p>
    <w:p w14:paraId="538C0C64" w14:textId="1D4D0E44" w:rsidR="00530CF1" w:rsidRPr="00B81922" w:rsidRDefault="00000000">
      <w:pPr>
        <w:rPr>
          <w:rFonts w:ascii="Arial" w:hAnsi="Arial" w:cs="Arial"/>
        </w:rPr>
      </w:pPr>
      <w:r w:rsidRPr="00B81922">
        <w:rPr>
          <w:rFonts w:ascii="Arial" w:hAnsi="Arial" w:cs="Arial"/>
        </w:rPr>
        <w:t>Furthermore, the Trust advocates for a circular digital device strategy, focusing on device refurbishment, leasing, reuse, and digital inclusion – thereby reducing e-waste, extending hardware lifespan, and supporting a more equitable digital service offer.</w:t>
      </w:r>
    </w:p>
    <w:p w14:paraId="3EC43FA8"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09CAD605" w14:textId="77777777" w:rsidR="00530CF1" w:rsidRPr="00B81922" w:rsidRDefault="00000000">
      <w:pPr>
        <w:rPr>
          <w:rFonts w:ascii="Arial" w:hAnsi="Arial" w:cs="Arial"/>
        </w:rPr>
      </w:pPr>
      <w:r w:rsidRPr="00B81922">
        <w:rPr>
          <w:rFonts w:ascii="Arial" w:hAnsi="Arial" w:cs="Arial"/>
        </w:rPr>
        <w:t>• Embed sustainability principles into digital strategy, governance, and infrastructure planning.</w:t>
      </w:r>
    </w:p>
    <w:p w14:paraId="458123F4" w14:textId="77777777" w:rsidR="00530CF1" w:rsidRPr="00B81922" w:rsidRDefault="00000000">
      <w:pPr>
        <w:rPr>
          <w:rFonts w:ascii="Arial" w:hAnsi="Arial" w:cs="Arial"/>
        </w:rPr>
      </w:pPr>
      <w:r w:rsidRPr="00B81922">
        <w:rPr>
          <w:rFonts w:ascii="Arial" w:hAnsi="Arial" w:cs="Arial"/>
        </w:rPr>
        <w:t>• Reduce the digital carbon footprint of the Trust through low-energy practices and technology.</w:t>
      </w:r>
    </w:p>
    <w:p w14:paraId="064D32F1" w14:textId="77777777" w:rsidR="00530CF1" w:rsidRPr="00B81922" w:rsidRDefault="00000000">
      <w:pPr>
        <w:rPr>
          <w:rFonts w:ascii="Arial" w:hAnsi="Arial" w:cs="Arial"/>
        </w:rPr>
      </w:pPr>
      <w:r w:rsidRPr="00B81922">
        <w:rPr>
          <w:rFonts w:ascii="Arial" w:hAnsi="Arial" w:cs="Arial"/>
        </w:rPr>
        <w:t>• Promote virtual models of care to reduce travel, paper use, and unnecessary clinical interventions.</w:t>
      </w:r>
    </w:p>
    <w:p w14:paraId="79F705F8" w14:textId="30290E90" w:rsidR="00530CF1" w:rsidRPr="00B81922" w:rsidRDefault="00000000">
      <w:pPr>
        <w:rPr>
          <w:rFonts w:ascii="Arial" w:hAnsi="Arial" w:cs="Arial"/>
        </w:rPr>
      </w:pPr>
      <w:r w:rsidRPr="00B81922">
        <w:rPr>
          <w:rFonts w:ascii="Arial" w:hAnsi="Arial" w:cs="Arial"/>
        </w:rPr>
        <w:t>• Develop a circular approach to digital management and digital inclusion</w:t>
      </w:r>
    </w:p>
    <w:p w14:paraId="14ACFA40"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4B09262B" w14:textId="77777777" w:rsidR="00530CF1" w:rsidRPr="00B81922" w:rsidRDefault="00000000">
      <w:pPr>
        <w:rPr>
          <w:rFonts w:ascii="Arial" w:hAnsi="Arial" w:cs="Arial"/>
        </w:rPr>
      </w:pPr>
      <w:r w:rsidRPr="00B81922">
        <w:rPr>
          <w:rFonts w:ascii="Arial" w:hAnsi="Arial" w:cs="Arial"/>
        </w:rPr>
        <w:t xml:space="preserve">• Completion of baseline ICT carbon footprint assessment </w:t>
      </w:r>
    </w:p>
    <w:p w14:paraId="390A0CF3" w14:textId="77777777" w:rsidR="00530CF1" w:rsidRPr="00B81922" w:rsidRDefault="00000000">
      <w:pPr>
        <w:rPr>
          <w:rFonts w:ascii="Arial" w:hAnsi="Arial" w:cs="Arial"/>
        </w:rPr>
      </w:pPr>
      <w:r w:rsidRPr="00B81922">
        <w:rPr>
          <w:rFonts w:ascii="Arial" w:hAnsi="Arial" w:cs="Arial"/>
        </w:rPr>
        <w:t>• % of new hardware purchases meet low-energy specifications</w:t>
      </w:r>
    </w:p>
    <w:p w14:paraId="519F8B23" w14:textId="77777777" w:rsidR="00530CF1" w:rsidRPr="00B81922" w:rsidRDefault="00000000">
      <w:pPr>
        <w:rPr>
          <w:rFonts w:ascii="Arial" w:hAnsi="Arial" w:cs="Arial"/>
        </w:rPr>
      </w:pPr>
      <w:r w:rsidRPr="00B81922">
        <w:rPr>
          <w:rFonts w:ascii="Arial" w:hAnsi="Arial" w:cs="Arial"/>
        </w:rPr>
        <w:t>• Reduction of paper usage across the Trust</w:t>
      </w:r>
    </w:p>
    <w:p w14:paraId="70A994C7" w14:textId="77777777" w:rsidR="00530CF1" w:rsidRPr="00B81922" w:rsidRDefault="00000000">
      <w:pPr>
        <w:rPr>
          <w:rFonts w:ascii="Arial" w:hAnsi="Arial" w:cs="Arial"/>
        </w:rPr>
      </w:pPr>
      <w:r w:rsidRPr="00B81922">
        <w:rPr>
          <w:rFonts w:ascii="Arial" w:hAnsi="Arial" w:cs="Arial"/>
        </w:rPr>
        <w:t>• Proportion of service offering virtual or paperless pathways</w:t>
      </w:r>
    </w:p>
    <w:p w14:paraId="34BD990B" w14:textId="77777777" w:rsidR="00530CF1" w:rsidRPr="00B81922" w:rsidRDefault="00000000">
      <w:pPr>
        <w:rPr>
          <w:rFonts w:ascii="Arial" w:hAnsi="Arial" w:cs="Arial"/>
        </w:rPr>
      </w:pPr>
      <w:r w:rsidRPr="00B81922">
        <w:rPr>
          <w:rFonts w:ascii="Arial" w:hAnsi="Arial" w:cs="Arial"/>
        </w:rPr>
        <w:t>• Quantity of devices refurbished or reused annually</w:t>
      </w:r>
    </w:p>
    <w:p w14:paraId="1FE969BF" w14:textId="77777777" w:rsidR="00530CF1" w:rsidRPr="00257247" w:rsidRDefault="00000000" w:rsidP="005F312C">
      <w:pPr>
        <w:pStyle w:val="Heading2"/>
        <w:rPr>
          <w:color w:val="365F91" w:themeColor="accent1" w:themeShade="BF"/>
        </w:rPr>
      </w:pPr>
      <w:r w:rsidRPr="00257247">
        <w:rPr>
          <w:color w:val="365F91" w:themeColor="accent1" w:themeShade="BF"/>
        </w:rPr>
        <w:lastRenderedPageBreak/>
        <w:t>Roadmap to delivery</w:t>
      </w:r>
    </w:p>
    <w:p w14:paraId="588A74DD"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52B23021" w14:textId="77777777" w:rsidR="00530CF1" w:rsidRPr="00B81922" w:rsidRDefault="00000000">
      <w:pPr>
        <w:rPr>
          <w:rFonts w:ascii="Arial" w:hAnsi="Arial" w:cs="Arial"/>
        </w:rPr>
      </w:pPr>
      <w:r w:rsidRPr="00B81922">
        <w:rPr>
          <w:rFonts w:ascii="Arial" w:hAnsi="Arial" w:cs="Arial"/>
        </w:rPr>
        <w:t>• Initiate ICT carbon footprint baseline assessment</w:t>
      </w:r>
    </w:p>
    <w:p w14:paraId="18ED46C5" w14:textId="77777777" w:rsidR="00530CF1" w:rsidRPr="00B81922" w:rsidRDefault="00000000">
      <w:pPr>
        <w:rPr>
          <w:rFonts w:ascii="Arial" w:hAnsi="Arial" w:cs="Arial"/>
        </w:rPr>
      </w:pPr>
      <w:r w:rsidRPr="00B81922">
        <w:rPr>
          <w:rFonts w:ascii="Arial" w:hAnsi="Arial" w:cs="Arial"/>
        </w:rPr>
        <w:t>• Review options for deployment of ‘</w:t>
      </w:r>
      <w:proofErr w:type="spellStart"/>
      <w:r w:rsidRPr="00B81922">
        <w:rPr>
          <w:rFonts w:ascii="Arial" w:hAnsi="Arial" w:cs="Arial"/>
        </w:rPr>
        <w:t>powerdown</w:t>
      </w:r>
      <w:proofErr w:type="spellEnd"/>
      <w:r w:rsidRPr="00B81922">
        <w:rPr>
          <w:rFonts w:ascii="Arial" w:hAnsi="Arial" w:cs="Arial"/>
        </w:rPr>
        <w:t>’ energy saving software</w:t>
      </w:r>
    </w:p>
    <w:p w14:paraId="38986E5D" w14:textId="322070B5" w:rsidR="00530CF1" w:rsidRPr="00B81922" w:rsidRDefault="00000000">
      <w:pPr>
        <w:rPr>
          <w:rFonts w:ascii="Arial" w:hAnsi="Arial" w:cs="Arial"/>
        </w:rPr>
      </w:pPr>
      <w:r w:rsidRPr="00B81922">
        <w:rPr>
          <w:rFonts w:ascii="Arial" w:hAnsi="Arial" w:cs="Arial"/>
        </w:rPr>
        <w:t>• Launch a digital sustainability awareness campaign in collaboration with Green Champions Network</w:t>
      </w:r>
    </w:p>
    <w:p w14:paraId="4ACEC458"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7156309C" w14:textId="2190AF67" w:rsidR="00530CF1" w:rsidRPr="00B81922" w:rsidRDefault="00000000">
      <w:pPr>
        <w:rPr>
          <w:rFonts w:ascii="Arial" w:hAnsi="Arial" w:cs="Arial"/>
        </w:rPr>
      </w:pPr>
      <w:r w:rsidRPr="00B81922">
        <w:rPr>
          <w:rFonts w:ascii="Arial" w:hAnsi="Arial" w:cs="Arial"/>
        </w:rPr>
        <w:t>• Monitor energy consumption reduction across digital estate</w:t>
      </w:r>
    </w:p>
    <w:p w14:paraId="1293B681"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47CD20A5" w14:textId="77777777" w:rsidR="00530CF1" w:rsidRPr="00B81922" w:rsidRDefault="00000000">
      <w:pPr>
        <w:rPr>
          <w:rFonts w:ascii="Arial" w:hAnsi="Arial" w:cs="Arial"/>
        </w:rPr>
      </w:pPr>
      <w:r w:rsidRPr="00B81922">
        <w:rPr>
          <w:rFonts w:ascii="Arial" w:hAnsi="Arial" w:cs="Arial"/>
        </w:rPr>
        <w:t>• Integrate digital sustainability KPIs into Trust-wide reporting frameworks</w:t>
      </w:r>
    </w:p>
    <w:p w14:paraId="236A331C" w14:textId="77777777" w:rsidR="00530CF1" w:rsidRPr="00B81922" w:rsidRDefault="00000000">
      <w:pPr>
        <w:rPr>
          <w:rFonts w:ascii="Arial" w:hAnsi="Arial" w:cs="Arial"/>
        </w:rPr>
      </w:pPr>
      <w:r w:rsidRPr="00B81922">
        <w:rPr>
          <w:rFonts w:ascii="Arial" w:hAnsi="Arial" w:cs="Arial"/>
        </w:rPr>
        <w:t>• Evaluate impact of digital interventions on Net Zero targets and patient care outcomes</w:t>
      </w:r>
    </w:p>
    <w:p w14:paraId="3C37727E" w14:textId="77777777" w:rsidR="00530CF1" w:rsidRPr="00B81922" w:rsidRDefault="00000000">
      <w:pPr>
        <w:rPr>
          <w:rFonts w:ascii="Arial" w:hAnsi="Arial" w:cs="Arial"/>
        </w:rPr>
      </w:pPr>
      <w:r w:rsidRPr="00B81922">
        <w:rPr>
          <w:rFonts w:ascii="Arial" w:hAnsi="Arial" w:cs="Arial"/>
        </w:rPr>
        <w:t>• Refresh digital strategy to incorporate updated Green Plan and ICS-wide objectives</w:t>
      </w:r>
    </w:p>
    <w:p w14:paraId="6FDDACAE" w14:textId="77777777" w:rsidR="00530CF1" w:rsidRPr="00B81922" w:rsidRDefault="00530CF1">
      <w:pPr>
        <w:rPr>
          <w:rFonts w:ascii="Arial" w:hAnsi="Arial" w:cs="Arial"/>
        </w:rPr>
      </w:pPr>
    </w:p>
    <w:p w14:paraId="130C6B28" w14:textId="46A5C3DE" w:rsidR="00530CF1" w:rsidRPr="00B81922" w:rsidRDefault="00000000" w:rsidP="005F312C">
      <w:pPr>
        <w:pStyle w:val="Heading1"/>
      </w:pPr>
      <w:r w:rsidRPr="00B81922">
        <w:t>Medicines</w:t>
      </w:r>
    </w:p>
    <w:p w14:paraId="2CA0E449" w14:textId="6057FBBE" w:rsidR="00530CF1" w:rsidRPr="00B81922" w:rsidRDefault="00000000">
      <w:pPr>
        <w:rPr>
          <w:rFonts w:ascii="Arial" w:hAnsi="Arial" w:cs="Arial"/>
        </w:rPr>
      </w:pPr>
      <w:r w:rsidRPr="00B81922">
        <w:rPr>
          <w:rFonts w:ascii="Arial" w:hAnsi="Arial" w:cs="Arial"/>
        </w:rPr>
        <w:t xml:space="preserve">Medicines account for a significant proportion of the NHS’s carbon footprint, particularly </w:t>
      </w:r>
      <w:proofErr w:type="gramStart"/>
      <w:r w:rsidRPr="00B81922">
        <w:rPr>
          <w:rFonts w:ascii="Arial" w:hAnsi="Arial" w:cs="Arial"/>
        </w:rPr>
        <w:t>through the use of</w:t>
      </w:r>
      <w:proofErr w:type="gramEnd"/>
      <w:r w:rsidRPr="00B81922">
        <w:rPr>
          <w:rFonts w:ascii="Arial" w:hAnsi="Arial" w:cs="Arial"/>
        </w:rPr>
        <w:t xml:space="preserve"> inhalers and </w:t>
      </w:r>
      <w:proofErr w:type="spellStart"/>
      <w:r w:rsidRPr="00B81922">
        <w:rPr>
          <w:rFonts w:ascii="Arial" w:hAnsi="Arial" w:cs="Arial"/>
        </w:rPr>
        <w:t>anaesthetic</w:t>
      </w:r>
      <w:proofErr w:type="spellEnd"/>
      <w:r w:rsidRPr="00B81922">
        <w:rPr>
          <w:rFonts w:ascii="Arial" w:hAnsi="Arial" w:cs="Arial"/>
        </w:rPr>
        <w:t xml:space="preserve"> gases. Humber Teaching NHS Foundation Trust </w:t>
      </w:r>
      <w:proofErr w:type="spellStart"/>
      <w:r w:rsidRPr="00B81922">
        <w:rPr>
          <w:rFonts w:ascii="Arial" w:hAnsi="Arial" w:cs="Arial"/>
        </w:rPr>
        <w:t>recognises</w:t>
      </w:r>
      <w:proofErr w:type="spellEnd"/>
      <w:r w:rsidRPr="00B81922">
        <w:rPr>
          <w:rFonts w:ascii="Arial" w:hAnsi="Arial" w:cs="Arial"/>
        </w:rPr>
        <w:t xml:space="preserve"> the opportunity to drive environmental improvements through more sustainable prescribing, waste reduction, and low-carbon clinical practice.</w:t>
      </w:r>
    </w:p>
    <w:p w14:paraId="69D7DBCA" w14:textId="2A619353" w:rsidR="00530CF1" w:rsidRPr="00B81922" w:rsidRDefault="00000000">
      <w:pPr>
        <w:rPr>
          <w:rFonts w:ascii="Arial" w:hAnsi="Arial" w:cs="Arial"/>
        </w:rPr>
      </w:pPr>
      <w:r w:rsidRPr="00B81922">
        <w:rPr>
          <w:rFonts w:ascii="Arial" w:hAnsi="Arial" w:cs="Arial"/>
        </w:rPr>
        <w:t xml:space="preserve">The Trust has already taken proactive steps to reduce the environmental impact of nitrous oxide by exclusively using portable cylinders, having decommissioned traditional nitrous manifolds. </w:t>
      </w:r>
    </w:p>
    <w:p w14:paraId="3FDF0BB6" w14:textId="7C5D8ED2" w:rsidR="00530CF1" w:rsidRPr="00B81922" w:rsidRDefault="00000000">
      <w:pPr>
        <w:rPr>
          <w:rFonts w:ascii="Arial" w:hAnsi="Arial" w:cs="Arial"/>
        </w:rPr>
      </w:pPr>
      <w:r w:rsidRPr="00B81922">
        <w:rPr>
          <w:rFonts w:ascii="Arial" w:hAnsi="Arial" w:cs="Arial"/>
        </w:rPr>
        <w:t xml:space="preserve">This aligns with wider Integrated Care Board (ICB) objectives to </w:t>
      </w:r>
      <w:proofErr w:type="spellStart"/>
      <w:r w:rsidRPr="00B81922">
        <w:rPr>
          <w:rFonts w:ascii="Arial" w:hAnsi="Arial" w:cs="Arial"/>
        </w:rPr>
        <w:t>minimise</w:t>
      </w:r>
      <w:proofErr w:type="spellEnd"/>
      <w:r w:rsidRPr="00B81922">
        <w:rPr>
          <w:rFonts w:ascii="Arial" w:hAnsi="Arial" w:cs="Arial"/>
        </w:rPr>
        <w:t xml:space="preserve"> waste and emissions from medical gases, whilst maintaining patient safety and service continuity.</w:t>
      </w:r>
    </w:p>
    <w:p w14:paraId="72DCD756" w14:textId="2C3D0CEB" w:rsidR="00530CF1" w:rsidRPr="00B81922" w:rsidRDefault="00000000">
      <w:pPr>
        <w:rPr>
          <w:rFonts w:ascii="Arial" w:hAnsi="Arial" w:cs="Arial"/>
        </w:rPr>
      </w:pPr>
      <w:r w:rsidRPr="00B81922">
        <w:rPr>
          <w:rFonts w:ascii="Arial" w:hAnsi="Arial" w:cs="Arial"/>
        </w:rPr>
        <w:t>Additionally, the Trust’s GP practices play a vital role in advancing low-carbon respiratory care in primary settings. This includes supporting patients to choose the most appropriate inhalers, promoting the use of dry powder inhalers (DPIs) where clinically appropriate, checking inhaler technique, and raising awareness of proper inhaler disposal. These actions are in line with national guidance and contribute directly to reducing the carbon footprint of care delivery.</w:t>
      </w:r>
    </w:p>
    <w:p w14:paraId="1D3E05A4"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6F6B20BE" w14:textId="77777777" w:rsidR="00530CF1" w:rsidRPr="00B81922" w:rsidRDefault="00000000">
      <w:pPr>
        <w:rPr>
          <w:rFonts w:ascii="Arial" w:hAnsi="Arial" w:cs="Arial"/>
        </w:rPr>
      </w:pPr>
      <w:r w:rsidRPr="00B81922">
        <w:rPr>
          <w:rFonts w:ascii="Arial" w:hAnsi="Arial" w:cs="Arial"/>
        </w:rPr>
        <w:t>• Reduce the carbon impact of medicines though improved prescribing practices and medical gas management</w:t>
      </w:r>
    </w:p>
    <w:p w14:paraId="7BD413C1" w14:textId="77777777" w:rsidR="00530CF1" w:rsidRPr="00B81922" w:rsidRDefault="00000000">
      <w:pPr>
        <w:rPr>
          <w:rFonts w:ascii="Arial" w:hAnsi="Arial" w:cs="Arial"/>
        </w:rPr>
      </w:pPr>
      <w:r w:rsidRPr="00B81922">
        <w:rPr>
          <w:rFonts w:ascii="Arial" w:hAnsi="Arial" w:cs="Arial"/>
        </w:rPr>
        <w:lastRenderedPageBreak/>
        <w:t>• Support the delivery of low-carbon respiratory care across both primary and secondary care</w:t>
      </w:r>
    </w:p>
    <w:p w14:paraId="2833BB36" w14:textId="1D09195C" w:rsidR="00530CF1" w:rsidRPr="00B81922" w:rsidRDefault="00000000">
      <w:pPr>
        <w:rPr>
          <w:rFonts w:ascii="Arial" w:hAnsi="Arial" w:cs="Arial"/>
        </w:rPr>
      </w:pPr>
      <w:r w:rsidRPr="00B81922">
        <w:rPr>
          <w:rFonts w:ascii="Arial" w:hAnsi="Arial" w:cs="Arial"/>
        </w:rPr>
        <w:t>• Ensure staff and patients are equipped with the knowledge to make environmentally informed choices around medicines use and disposal.</w:t>
      </w:r>
    </w:p>
    <w:p w14:paraId="63A1DE95"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53E4DD68" w14:textId="77777777" w:rsidR="00530CF1" w:rsidRPr="00B81922" w:rsidRDefault="00000000">
      <w:pPr>
        <w:rPr>
          <w:rFonts w:ascii="Arial" w:hAnsi="Arial" w:cs="Arial"/>
        </w:rPr>
      </w:pPr>
      <w:r w:rsidRPr="00B81922">
        <w:rPr>
          <w:rFonts w:ascii="Arial" w:hAnsi="Arial" w:cs="Arial"/>
        </w:rPr>
        <w:t>• 100% of nitrous oxide administered via portable cylinders</w:t>
      </w:r>
    </w:p>
    <w:p w14:paraId="0E0ED279" w14:textId="77777777" w:rsidR="00530CF1" w:rsidRPr="00B81922" w:rsidRDefault="00000000">
      <w:pPr>
        <w:rPr>
          <w:rFonts w:ascii="Arial" w:hAnsi="Arial" w:cs="Arial"/>
        </w:rPr>
      </w:pPr>
      <w:r w:rsidRPr="00B81922">
        <w:rPr>
          <w:rFonts w:ascii="Arial" w:hAnsi="Arial" w:cs="Arial"/>
        </w:rPr>
        <w:t>• Percentage of patients on MDIs (metered dose inhalers) reviewed for possible switch to lower-carbon alternatives</w:t>
      </w:r>
    </w:p>
    <w:p w14:paraId="69AD30D0" w14:textId="77777777" w:rsidR="00530CF1" w:rsidRPr="00B81922" w:rsidRDefault="00000000">
      <w:pPr>
        <w:rPr>
          <w:rFonts w:ascii="Arial" w:hAnsi="Arial" w:cs="Arial"/>
        </w:rPr>
      </w:pPr>
      <w:r w:rsidRPr="00B81922">
        <w:rPr>
          <w:rFonts w:ascii="Arial" w:hAnsi="Arial" w:cs="Arial"/>
        </w:rPr>
        <w:t>• Number of inhaler technique checks completed per year across primary and secondary care settings</w:t>
      </w:r>
    </w:p>
    <w:p w14:paraId="2D9824A9" w14:textId="011E9520" w:rsidR="00530CF1" w:rsidRPr="00B81922" w:rsidRDefault="00000000">
      <w:pPr>
        <w:rPr>
          <w:rFonts w:ascii="Arial" w:hAnsi="Arial" w:cs="Arial"/>
        </w:rPr>
      </w:pPr>
      <w:r w:rsidRPr="00B81922">
        <w:rPr>
          <w:rFonts w:ascii="Arial" w:hAnsi="Arial" w:cs="Arial"/>
        </w:rPr>
        <w:t>• Number of patients receiving education on inhaler disposal</w:t>
      </w:r>
    </w:p>
    <w:p w14:paraId="40C33FCF" w14:textId="77777777" w:rsidR="00530CF1" w:rsidRPr="00257247" w:rsidRDefault="00000000" w:rsidP="005F312C">
      <w:pPr>
        <w:pStyle w:val="Heading2"/>
        <w:rPr>
          <w:color w:val="365F91" w:themeColor="accent1" w:themeShade="BF"/>
        </w:rPr>
      </w:pPr>
      <w:r w:rsidRPr="00257247">
        <w:rPr>
          <w:color w:val="365F91" w:themeColor="accent1" w:themeShade="BF"/>
        </w:rPr>
        <w:t>Roadmap to delivery</w:t>
      </w:r>
    </w:p>
    <w:p w14:paraId="1D73CEEE"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7ED6350F" w14:textId="77777777" w:rsidR="00530CF1" w:rsidRPr="00B81922" w:rsidRDefault="00000000">
      <w:pPr>
        <w:rPr>
          <w:rFonts w:ascii="Arial" w:hAnsi="Arial" w:cs="Arial"/>
        </w:rPr>
      </w:pPr>
      <w:r w:rsidRPr="00B81922">
        <w:rPr>
          <w:rFonts w:ascii="Arial" w:hAnsi="Arial" w:cs="Arial"/>
        </w:rPr>
        <w:t>• Develop a patient-facing education resource pack on low-carbon respiratory care.</w:t>
      </w:r>
    </w:p>
    <w:p w14:paraId="768BB8BE" w14:textId="0D4B90AB" w:rsidR="00530CF1" w:rsidRPr="00B81922" w:rsidRDefault="00000000">
      <w:pPr>
        <w:rPr>
          <w:rFonts w:ascii="Arial" w:hAnsi="Arial" w:cs="Arial"/>
        </w:rPr>
      </w:pPr>
      <w:r w:rsidRPr="00B81922">
        <w:rPr>
          <w:rFonts w:ascii="Arial" w:hAnsi="Arial" w:cs="Arial"/>
        </w:rPr>
        <w:t>• Expand use of digital prescribing tools to support carbon-aware decision making.</w:t>
      </w:r>
    </w:p>
    <w:p w14:paraId="693B5246"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23D02E02" w14:textId="77777777" w:rsidR="00530CF1" w:rsidRPr="00B81922" w:rsidRDefault="00000000">
      <w:pPr>
        <w:rPr>
          <w:rFonts w:ascii="Arial" w:hAnsi="Arial" w:cs="Arial"/>
        </w:rPr>
      </w:pPr>
      <w:r w:rsidRPr="00B81922">
        <w:rPr>
          <w:rFonts w:ascii="Arial" w:hAnsi="Arial" w:cs="Arial"/>
        </w:rPr>
        <w:t>• Evaluate impact of interventions on prescribing patterns and inhaler-related emissions.</w:t>
      </w:r>
    </w:p>
    <w:p w14:paraId="0481CFC2" w14:textId="77777777" w:rsidR="00530CF1" w:rsidRPr="00B81922" w:rsidRDefault="00000000">
      <w:pPr>
        <w:rPr>
          <w:rFonts w:ascii="Arial" w:hAnsi="Arial" w:cs="Arial"/>
        </w:rPr>
      </w:pPr>
      <w:r w:rsidRPr="00B81922">
        <w:rPr>
          <w:rFonts w:ascii="Arial" w:hAnsi="Arial" w:cs="Arial"/>
        </w:rPr>
        <w:t>• Share best practice across the ICS to support wider adoption of low-carbon medicines initiatives.</w:t>
      </w:r>
    </w:p>
    <w:p w14:paraId="030BEE77" w14:textId="77777777" w:rsidR="00530CF1" w:rsidRPr="00B81922" w:rsidRDefault="00000000">
      <w:pPr>
        <w:rPr>
          <w:rFonts w:ascii="Arial" w:hAnsi="Arial" w:cs="Arial"/>
        </w:rPr>
      </w:pPr>
      <w:r w:rsidRPr="00B81922">
        <w:rPr>
          <w:rFonts w:ascii="Arial" w:hAnsi="Arial" w:cs="Arial"/>
        </w:rPr>
        <w:t>• Update medicines and prescribing policies to formally embed environmental considerations.</w:t>
      </w:r>
    </w:p>
    <w:p w14:paraId="44913FC3" w14:textId="77777777" w:rsidR="00530CF1" w:rsidRPr="00B81922" w:rsidRDefault="00530CF1">
      <w:pPr>
        <w:rPr>
          <w:rFonts w:ascii="Arial" w:hAnsi="Arial" w:cs="Arial"/>
        </w:rPr>
      </w:pPr>
    </w:p>
    <w:p w14:paraId="4A416A8A" w14:textId="26F9B1C3" w:rsidR="00530CF1" w:rsidRPr="00B81922" w:rsidRDefault="00000000" w:rsidP="005F312C">
      <w:pPr>
        <w:pStyle w:val="Heading1"/>
      </w:pPr>
      <w:r w:rsidRPr="00B81922">
        <w:t>Travel and transport</w:t>
      </w:r>
    </w:p>
    <w:p w14:paraId="1E33B0B4" w14:textId="54254950" w:rsidR="00530CF1" w:rsidRPr="00B81922" w:rsidRDefault="00000000">
      <w:pPr>
        <w:rPr>
          <w:rFonts w:ascii="Arial" w:hAnsi="Arial" w:cs="Arial"/>
        </w:rPr>
      </w:pPr>
      <w:r w:rsidRPr="00B81922">
        <w:rPr>
          <w:rFonts w:ascii="Arial" w:hAnsi="Arial" w:cs="Arial"/>
        </w:rPr>
        <w:t xml:space="preserve">Travel and transport contribute significantly to the NHS carbon footprint, presenting a key area of opportunity for emissions reduction, air quality improvement, and promoting healthier, more sustainable travel </w:t>
      </w:r>
      <w:proofErr w:type="spellStart"/>
      <w:r w:rsidRPr="00B81922">
        <w:rPr>
          <w:rFonts w:ascii="Arial" w:hAnsi="Arial" w:cs="Arial"/>
        </w:rPr>
        <w:t>behaviours</w:t>
      </w:r>
      <w:proofErr w:type="spellEnd"/>
      <w:r w:rsidRPr="00B81922">
        <w:rPr>
          <w:rFonts w:ascii="Arial" w:hAnsi="Arial" w:cs="Arial"/>
        </w:rPr>
        <w:t>.</w:t>
      </w:r>
    </w:p>
    <w:p w14:paraId="01F260AE" w14:textId="3287AA17" w:rsidR="00530CF1" w:rsidRPr="00B81922" w:rsidRDefault="00000000">
      <w:pPr>
        <w:rPr>
          <w:rFonts w:ascii="Arial" w:hAnsi="Arial" w:cs="Arial"/>
        </w:rPr>
      </w:pPr>
      <w:r w:rsidRPr="00B81922">
        <w:rPr>
          <w:rFonts w:ascii="Arial" w:hAnsi="Arial" w:cs="Arial"/>
        </w:rPr>
        <w:t xml:space="preserve">Humber Teaching NHS Foundation Trust has already taken meaningful steps toward </w:t>
      </w:r>
      <w:proofErr w:type="spellStart"/>
      <w:r w:rsidRPr="00B81922">
        <w:rPr>
          <w:rFonts w:ascii="Arial" w:hAnsi="Arial" w:cs="Arial"/>
        </w:rPr>
        <w:t>decarbonising</w:t>
      </w:r>
      <w:proofErr w:type="spellEnd"/>
      <w:r w:rsidRPr="00B81922">
        <w:rPr>
          <w:rFonts w:ascii="Arial" w:hAnsi="Arial" w:cs="Arial"/>
        </w:rPr>
        <w:t xml:space="preserve"> its travel operations. The Estates and Facilities fleet has commenced its transition to electric vehicles (EVs), with a clear commitment that all future lease replacements will be zero-emission. This is supported by a growing network of EV charging infrastructure across key Trust sites, with further expansion planned over the next five years to meet increased demand.</w:t>
      </w:r>
    </w:p>
    <w:p w14:paraId="5404C622" w14:textId="1995158A" w:rsidR="00530CF1" w:rsidRPr="00B81922" w:rsidRDefault="00000000">
      <w:pPr>
        <w:rPr>
          <w:rFonts w:ascii="Arial" w:hAnsi="Arial" w:cs="Arial"/>
        </w:rPr>
      </w:pPr>
      <w:r w:rsidRPr="00B81922">
        <w:rPr>
          <w:rFonts w:ascii="Arial" w:hAnsi="Arial" w:cs="Arial"/>
        </w:rPr>
        <w:lastRenderedPageBreak/>
        <w:t>To encourage low-carbon commuting, the Trust actively promotes the Cycle to Work scheme and has recently invested in secure cycle storage facilities, with additional investment planned to support increased staff uptake.</w:t>
      </w:r>
    </w:p>
    <w:p w14:paraId="54E52D47" w14:textId="0768192A" w:rsidR="00530CF1" w:rsidRPr="00B81922" w:rsidRDefault="00000000">
      <w:pPr>
        <w:rPr>
          <w:rFonts w:ascii="Arial" w:hAnsi="Arial" w:cs="Arial"/>
        </w:rPr>
      </w:pPr>
      <w:r w:rsidRPr="00B81922">
        <w:rPr>
          <w:rFonts w:ascii="Arial" w:hAnsi="Arial" w:cs="Arial"/>
        </w:rPr>
        <w:t>In line with the NHS Net Zero Travel and Transport Strategy and Roadmap, the Trust will develop a comprehensive Sustainable Travel Strategy by December 2026, fully integrated into its Green Plan. This will align with wider Integrated Care Board (ICB) objectives to:</w:t>
      </w:r>
    </w:p>
    <w:p w14:paraId="7706EC82"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5FAC30C2" w14:textId="77777777" w:rsidR="00530CF1" w:rsidRPr="00B81922" w:rsidRDefault="00000000">
      <w:pPr>
        <w:rPr>
          <w:rFonts w:ascii="Arial" w:hAnsi="Arial" w:cs="Arial"/>
        </w:rPr>
      </w:pPr>
      <w:r w:rsidRPr="00B81922">
        <w:rPr>
          <w:rFonts w:ascii="Arial" w:hAnsi="Arial" w:cs="Arial"/>
        </w:rPr>
        <w:t xml:space="preserve">• </w:t>
      </w:r>
      <w:proofErr w:type="spellStart"/>
      <w:r w:rsidRPr="00B81922">
        <w:rPr>
          <w:rFonts w:ascii="Arial" w:hAnsi="Arial" w:cs="Arial"/>
        </w:rPr>
        <w:t>Decarbonise</w:t>
      </w:r>
      <w:proofErr w:type="spellEnd"/>
      <w:r w:rsidRPr="00B81922">
        <w:rPr>
          <w:rFonts w:ascii="Arial" w:hAnsi="Arial" w:cs="Arial"/>
        </w:rPr>
        <w:t xml:space="preserve"> all Trust-owned and leased vehicles in line with national and ICB targets.</w:t>
      </w:r>
    </w:p>
    <w:p w14:paraId="6BD7744A" w14:textId="77777777" w:rsidR="00530CF1" w:rsidRPr="00B81922" w:rsidRDefault="00000000">
      <w:pPr>
        <w:rPr>
          <w:rFonts w:ascii="Arial" w:hAnsi="Arial" w:cs="Arial"/>
        </w:rPr>
      </w:pPr>
      <w:r w:rsidRPr="00B81922">
        <w:rPr>
          <w:rFonts w:ascii="Arial" w:hAnsi="Arial" w:cs="Arial"/>
        </w:rPr>
        <w:t>• Support and promote low-carbon travel choices for staff, patients, and service users.</w:t>
      </w:r>
    </w:p>
    <w:p w14:paraId="439537B7" w14:textId="77777777" w:rsidR="00530CF1" w:rsidRPr="00B81922" w:rsidRDefault="00000000">
      <w:pPr>
        <w:rPr>
          <w:rFonts w:ascii="Arial" w:hAnsi="Arial" w:cs="Arial"/>
        </w:rPr>
      </w:pPr>
      <w:r w:rsidRPr="00B81922">
        <w:rPr>
          <w:rFonts w:ascii="Arial" w:hAnsi="Arial" w:cs="Arial"/>
        </w:rPr>
        <w:t>• Develop a fully integrated Sustainable Travel Strategy by 2026.</w:t>
      </w:r>
    </w:p>
    <w:p w14:paraId="33AE51CF" w14:textId="3F9A256B" w:rsidR="00530CF1" w:rsidRPr="00B81922" w:rsidRDefault="00000000">
      <w:pPr>
        <w:rPr>
          <w:rFonts w:ascii="Arial" w:hAnsi="Arial" w:cs="Arial"/>
        </w:rPr>
      </w:pPr>
      <w:r w:rsidRPr="00B81922">
        <w:rPr>
          <w:rFonts w:ascii="Arial" w:hAnsi="Arial" w:cs="Arial"/>
        </w:rPr>
        <w:t>• Improve the environmental sustainability of logistics, deliveries, and patient transport services</w:t>
      </w:r>
    </w:p>
    <w:p w14:paraId="41854DB0"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32022A76" w14:textId="77777777" w:rsidR="00530CF1" w:rsidRPr="00B81922" w:rsidRDefault="00000000">
      <w:pPr>
        <w:rPr>
          <w:rFonts w:ascii="Arial" w:hAnsi="Arial" w:cs="Arial"/>
        </w:rPr>
      </w:pPr>
      <w:r w:rsidRPr="00B81922">
        <w:rPr>
          <w:rFonts w:ascii="Arial" w:hAnsi="Arial" w:cs="Arial"/>
        </w:rPr>
        <w:t>• Percentage of fleet vehicles that are zero emission (year-on-year increase; target 100% by Dec 2027).</w:t>
      </w:r>
    </w:p>
    <w:p w14:paraId="1823BC53" w14:textId="77777777" w:rsidR="00530CF1" w:rsidRPr="00B81922" w:rsidRDefault="00000000">
      <w:pPr>
        <w:rPr>
          <w:rFonts w:ascii="Arial" w:hAnsi="Arial" w:cs="Arial"/>
        </w:rPr>
      </w:pPr>
      <w:r w:rsidRPr="00B81922">
        <w:rPr>
          <w:rFonts w:ascii="Arial" w:hAnsi="Arial" w:cs="Arial"/>
        </w:rPr>
        <w:t xml:space="preserve">• Number of EV charging points installed across Trust sites </w:t>
      </w:r>
    </w:p>
    <w:p w14:paraId="2DFC6C42" w14:textId="77777777" w:rsidR="00530CF1" w:rsidRPr="00B81922" w:rsidRDefault="00000000">
      <w:pPr>
        <w:rPr>
          <w:rFonts w:ascii="Arial" w:hAnsi="Arial" w:cs="Arial"/>
        </w:rPr>
      </w:pPr>
      <w:r w:rsidRPr="00B81922">
        <w:rPr>
          <w:rFonts w:ascii="Arial" w:hAnsi="Arial" w:cs="Arial"/>
        </w:rPr>
        <w:t>• Uptake of Cycle to Work scheme</w:t>
      </w:r>
    </w:p>
    <w:p w14:paraId="5B307234" w14:textId="179A4673" w:rsidR="00530CF1" w:rsidRPr="00B81922" w:rsidRDefault="00000000">
      <w:pPr>
        <w:rPr>
          <w:rFonts w:ascii="Arial" w:hAnsi="Arial" w:cs="Arial"/>
        </w:rPr>
      </w:pPr>
      <w:r w:rsidRPr="00B81922">
        <w:rPr>
          <w:rFonts w:ascii="Arial" w:hAnsi="Arial" w:cs="Arial"/>
        </w:rPr>
        <w:t>• Delivery of Sustainable Travel Strategy and integration into Green Plan by December 2026.</w:t>
      </w:r>
    </w:p>
    <w:p w14:paraId="6C9A189E" w14:textId="77777777" w:rsidR="00530CF1" w:rsidRPr="00257247" w:rsidRDefault="00000000" w:rsidP="005F312C">
      <w:pPr>
        <w:pStyle w:val="Heading2"/>
        <w:rPr>
          <w:color w:val="365F91" w:themeColor="accent1" w:themeShade="BF"/>
        </w:rPr>
      </w:pPr>
      <w:r w:rsidRPr="00257247">
        <w:rPr>
          <w:color w:val="365F91" w:themeColor="accent1" w:themeShade="BF"/>
        </w:rPr>
        <w:t>Roadmap to delivery</w:t>
      </w:r>
    </w:p>
    <w:p w14:paraId="6EAF5C88"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587DC66A" w14:textId="77777777" w:rsidR="00530CF1" w:rsidRPr="00B81922" w:rsidRDefault="00000000">
      <w:pPr>
        <w:rPr>
          <w:rFonts w:ascii="Arial" w:hAnsi="Arial" w:cs="Arial"/>
        </w:rPr>
      </w:pPr>
      <w:r w:rsidRPr="00B81922">
        <w:rPr>
          <w:rFonts w:ascii="Arial" w:hAnsi="Arial" w:cs="Arial"/>
        </w:rPr>
        <w:t xml:space="preserve">• Continue fleet electrification as leases </w:t>
      </w:r>
      <w:proofErr w:type="gramStart"/>
      <w:r w:rsidRPr="00B81922">
        <w:rPr>
          <w:rFonts w:ascii="Arial" w:hAnsi="Arial" w:cs="Arial"/>
        </w:rPr>
        <w:t>expire;</w:t>
      </w:r>
      <w:proofErr w:type="gramEnd"/>
      <w:r w:rsidRPr="00B81922">
        <w:rPr>
          <w:rFonts w:ascii="Arial" w:hAnsi="Arial" w:cs="Arial"/>
        </w:rPr>
        <w:t xml:space="preserve"> record emissions savings.</w:t>
      </w:r>
    </w:p>
    <w:p w14:paraId="4A6652BA" w14:textId="148D75AF" w:rsidR="00530CF1" w:rsidRPr="00B81922" w:rsidRDefault="00000000">
      <w:pPr>
        <w:rPr>
          <w:rFonts w:ascii="Arial" w:hAnsi="Arial" w:cs="Arial"/>
        </w:rPr>
      </w:pPr>
      <w:r w:rsidRPr="00B81922">
        <w:rPr>
          <w:rFonts w:ascii="Arial" w:hAnsi="Arial" w:cs="Arial"/>
        </w:rPr>
        <w:t>• Expand EV charging network at priority sites and assess usage data.</w:t>
      </w:r>
    </w:p>
    <w:p w14:paraId="52807639"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25443B94" w14:textId="77777777" w:rsidR="00530CF1" w:rsidRPr="00B81922" w:rsidRDefault="00000000">
      <w:pPr>
        <w:rPr>
          <w:rFonts w:ascii="Arial" w:hAnsi="Arial" w:cs="Arial"/>
        </w:rPr>
      </w:pPr>
      <w:r w:rsidRPr="00B81922">
        <w:rPr>
          <w:rFonts w:ascii="Arial" w:hAnsi="Arial" w:cs="Arial"/>
        </w:rPr>
        <w:t>• Promote Cycle to Work scheme and review opportunities to enhance cycle facilities further.</w:t>
      </w:r>
    </w:p>
    <w:p w14:paraId="45AE728F" w14:textId="77777777" w:rsidR="00530CF1" w:rsidRPr="00B81922" w:rsidRDefault="00000000">
      <w:pPr>
        <w:rPr>
          <w:rFonts w:ascii="Arial" w:hAnsi="Arial" w:cs="Arial"/>
        </w:rPr>
      </w:pPr>
      <w:r w:rsidRPr="00B81922">
        <w:rPr>
          <w:rFonts w:ascii="Arial" w:hAnsi="Arial" w:cs="Arial"/>
        </w:rPr>
        <w:t>• Draft and publish a Sustainable Travel Strategy aligned with the Net Zero Travel and Transport Roadmap.</w:t>
      </w:r>
    </w:p>
    <w:p w14:paraId="1B2AC57B" w14:textId="11E86E21" w:rsidR="00530CF1" w:rsidRPr="00B81922" w:rsidRDefault="00000000">
      <w:pPr>
        <w:rPr>
          <w:rFonts w:ascii="Arial" w:hAnsi="Arial" w:cs="Arial"/>
        </w:rPr>
      </w:pPr>
      <w:r w:rsidRPr="00B81922">
        <w:rPr>
          <w:rFonts w:ascii="Arial" w:hAnsi="Arial" w:cs="Arial"/>
        </w:rPr>
        <w:t>• Begin transition to offering only zero-emission vehicles via salary sacrifice scheme</w:t>
      </w:r>
    </w:p>
    <w:p w14:paraId="52E6B9AD"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786E1250" w14:textId="77777777" w:rsidR="00530CF1" w:rsidRPr="00B81922" w:rsidRDefault="00000000">
      <w:pPr>
        <w:rPr>
          <w:rFonts w:ascii="Arial" w:hAnsi="Arial" w:cs="Arial"/>
        </w:rPr>
      </w:pPr>
      <w:r w:rsidRPr="00B81922">
        <w:rPr>
          <w:rFonts w:ascii="Arial" w:hAnsi="Arial" w:cs="Arial"/>
        </w:rPr>
        <w:t>• Complete the transition of all new fleet vehicles to zero-emission models</w:t>
      </w:r>
    </w:p>
    <w:p w14:paraId="6661050A" w14:textId="1CD59A45" w:rsidR="00530CF1" w:rsidRPr="00B81922" w:rsidRDefault="00000000">
      <w:pPr>
        <w:rPr>
          <w:rFonts w:ascii="Arial" w:hAnsi="Arial" w:cs="Arial"/>
        </w:rPr>
      </w:pPr>
      <w:r w:rsidRPr="00B81922">
        <w:rPr>
          <w:rFonts w:ascii="Arial" w:hAnsi="Arial" w:cs="Arial"/>
        </w:rPr>
        <w:lastRenderedPageBreak/>
        <w:t>• Evaluate progress against travel strategy and update based on feedback and data.</w:t>
      </w:r>
    </w:p>
    <w:p w14:paraId="330B4346" w14:textId="77777777" w:rsidR="00530CF1" w:rsidRPr="00B81922" w:rsidRDefault="00530CF1">
      <w:pPr>
        <w:rPr>
          <w:rFonts w:ascii="Arial" w:hAnsi="Arial" w:cs="Arial"/>
        </w:rPr>
      </w:pPr>
    </w:p>
    <w:p w14:paraId="4A4624B0" w14:textId="498BF7F9" w:rsidR="00530CF1" w:rsidRPr="00B81922" w:rsidRDefault="00000000" w:rsidP="005F312C">
      <w:pPr>
        <w:pStyle w:val="Heading1"/>
      </w:pPr>
      <w:r w:rsidRPr="00B81922">
        <w:t>Estates and facilities</w:t>
      </w:r>
    </w:p>
    <w:p w14:paraId="401F219F" w14:textId="19B4DA0F" w:rsidR="00530CF1" w:rsidRPr="00B81922" w:rsidRDefault="00000000">
      <w:pPr>
        <w:rPr>
          <w:rFonts w:ascii="Arial" w:hAnsi="Arial" w:cs="Arial"/>
        </w:rPr>
      </w:pPr>
      <w:r w:rsidRPr="00B81922">
        <w:rPr>
          <w:rFonts w:ascii="Arial" w:hAnsi="Arial" w:cs="Arial"/>
        </w:rPr>
        <w:t xml:space="preserve">Humber Teaching NHS Foundation Trust </w:t>
      </w:r>
      <w:proofErr w:type="spellStart"/>
      <w:r w:rsidRPr="00B81922">
        <w:rPr>
          <w:rFonts w:ascii="Arial" w:hAnsi="Arial" w:cs="Arial"/>
        </w:rPr>
        <w:t>recognises</w:t>
      </w:r>
      <w:proofErr w:type="spellEnd"/>
      <w:r w:rsidRPr="00B81922">
        <w:rPr>
          <w:rFonts w:ascii="Arial" w:hAnsi="Arial" w:cs="Arial"/>
        </w:rPr>
        <w:t xml:space="preserve"> the role its estate plays in delivering Net Zero ambitions and creating healthier, more energy-efficient environments. The Trust’s Estates and Facilities team continues to drive forward </w:t>
      </w:r>
      <w:proofErr w:type="spellStart"/>
      <w:r w:rsidRPr="00B81922">
        <w:rPr>
          <w:rFonts w:ascii="Arial" w:hAnsi="Arial" w:cs="Arial"/>
        </w:rPr>
        <w:t>decarbonisation</w:t>
      </w:r>
      <w:proofErr w:type="spellEnd"/>
      <w:r w:rsidRPr="00B81922">
        <w:rPr>
          <w:rFonts w:ascii="Arial" w:hAnsi="Arial" w:cs="Arial"/>
        </w:rPr>
        <w:t xml:space="preserve"> and energy improvement initiatives as a core part of the Green Plan.</w:t>
      </w:r>
    </w:p>
    <w:p w14:paraId="5B23B0ED" w14:textId="4A1E39AE" w:rsidR="00530CF1" w:rsidRPr="00B81922" w:rsidRDefault="00000000">
      <w:pPr>
        <w:rPr>
          <w:rFonts w:ascii="Arial" w:hAnsi="Arial" w:cs="Arial"/>
        </w:rPr>
      </w:pPr>
      <w:r w:rsidRPr="00B81922">
        <w:rPr>
          <w:rFonts w:ascii="Arial" w:hAnsi="Arial" w:cs="Arial"/>
        </w:rPr>
        <w:t xml:space="preserve">The Trust has already developed Heat </w:t>
      </w:r>
      <w:proofErr w:type="spellStart"/>
      <w:r w:rsidRPr="00B81922">
        <w:rPr>
          <w:rFonts w:ascii="Arial" w:hAnsi="Arial" w:cs="Arial"/>
        </w:rPr>
        <w:t>Decarbonisation</w:t>
      </w:r>
      <w:proofErr w:type="spellEnd"/>
      <w:r w:rsidRPr="00B81922">
        <w:rPr>
          <w:rFonts w:ascii="Arial" w:hAnsi="Arial" w:cs="Arial"/>
        </w:rPr>
        <w:t xml:space="preserve"> Plans (HDPs) across its freehold estate, which provide a roadmap for phasing out fossil fuel heating systems in line with national targets. </w:t>
      </w:r>
    </w:p>
    <w:p w14:paraId="65AD5202" w14:textId="0497A5F3" w:rsidR="00530CF1" w:rsidRPr="00B81922" w:rsidRDefault="00000000">
      <w:pPr>
        <w:rPr>
          <w:rFonts w:ascii="Arial" w:hAnsi="Arial" w:cs="Arial"/>
        </w:rPr>
      </w:pPr>
      <w:r w:rsidRPr="00B81922">
        <w:rPr>
          <w:rFonts w:ascii="Arial" w:hAnsi="Arial" w:cs="Arial"/>
        </w:rPr>
        <w:t xml:space="preserve">Following a successful application to the Public Sector </w:t>
      </w:r>
      <w:proofErr w:type="spellStart"/>
      <w:r w:rsidRPr="00B81922">
        <w:rPr>
          <w:rFonts w:ascii="Arial" w:hAnsi="Arial" w:cs="Arial"/>
        </w:rPr>
        <w:t>Decarbonisation</w:t>
      </w:r>
      <w:proofErr w:type="spellEnd"/>
      <w:r w:rsidRPr="00B81922">
        <w:rPr>
          <w:rFonts w:ascii="Arial" w:hAnsi="Arial" w:cs="Arial"/>
        </w:rPr>
        <w:t xml:space="preserve"> Scheme (PSDS), the Trust is delivering a fabric-first retrofit </w:t>
      </w:r>
      <w:proofErr w:type="spellStart"/>
      <w:r w:rsidRPr="00B81922">
        <w:rPr>
          <w:rFonts w:ascii="Arial" w:hAnsi="Arial" w:cs="Arial"/>
        </w:rPr>
        <w:t>programme</w:t>
      </w:r>
      <w:proofErr w:type="spellEnd"/>
      <w:r w:rsidRPr="00B81922">
        <w:rPr>
          <w:rFonts w:ascii="Arial" w:hAnsi="Arial" w:cs="Arial"/>
        </w:rPr>
        <w:t xml:space="preserve">, with </w:t>
      </w:r>
      <w:proofErr w:type="spellStart"/>
      <w:r w:rsidRPr="00B81922">
        <w:rPr>
          <w:rFonts w:ascii="Arial" w:hAnsi="Arial" w:cs="Arial"/>
        </w:rPr>
        <w:t>decarbonised</w:t>
      </w:r>
      <w:proofErr w:type="spellEnd"/>
      <w:r w:rsidRPr="00B81922">
        <w:rPr>
          <w:rFonts w:ascii="Arial" w:hAnsi="Arial" w:cs="Arial"/>
        </w:rPr>
        <w:t xml:space="preserve"> heating systems currently being installed at four sites. In addition, the Trust has commissioned photovoltaic (PV) systems at four locations to increase onsite renewable energy generation.</w:t>
      </w:r>
    </w:p>
    <w:p w14:paraId="5C914350" w14:textId="48C617AB" w:rsidR="00530CF1" w:rsidRPr="00B81922" w:rsidRDefault="00000000">
      <w:pPr>
        <w:rPr>
          <w:rFonts w:ascii="Arial" w:hAnsi="Arial" w:cs="Arial"/>
        </w:rPr>
      </w:pPr>
      <w:r w:rsidRPr="00B81922">
        <w:rPr>
          <w:rFonts w:ascii="Arial" w:hAnsi="Arial" w:cs="Arial"/>
        </w:rPr>
        <w:t>Through a combined approach of strategic planning, capital investment, and energy-focused interventions, the Trust is embedding sustainability at the heart of its estate.</w:t>
      </w:r>
    </w:p>
    <w:p w14:paraId="4BD03E76"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0EF90C03" w14:textId="77777777" w:rsidR="00530CF1" w:rsidRPr="00B81922" w:rsidRDefault="00000000">
      <w:pPr>
        <w:rPr>
          <w:rFonts w:ascii="Arial" w:hAnsi="Arial" w:cs="Arial"/>
        </w:rPr>
      </w:pPr>
      <w:r w:rsidRPr="00B81922">
        <w:rPr>
          <w:rFonts w:ascii="Arial" w:hAnsi="Arial" w:cs="Arial"/>
        </w:rPr>
        <w:t xml:space="preserve">• </w:t>
      </w:r>
      <w:proofErr w:type="spellStart"/>
      <w:r w:rsidRPr="00B81922">
        <w:rPr>
          <w:rFonts w:ascii="Arial" w:hAnsi="Arial" w:cs="Arial"/>
        </w:rPr>
        <w:t>Decarbonise</w:t>
      </w:r>
      <w:proofErr w:type="spellEnd"/>
      <w:r w:rsidRPr="00B81922">
        <w:rPr>
          <w:rFonts w:ascii="Arial" w:hAnsi="Arial" w:cs="Arial"/>
        </w:rPr>
        <w:t xml:space="preserve"> the Trust’s estate by phasing out fossil-fuel heating and </w:t>
      </w:r>
      <w:proofErr w:type="spellStart"/>
      <w:r w:rsidRPr="00B81922">
        <w:rPr>
          <w:rFonts w:ascii="Arial" w:hAnsi="Arial" w:cs="Arial"/>
        </w:rPr>
        <w:t>maximising</w:t>
      </w:r>
      <w:proofErr w:type="spellEnd"/>
      <w:r w:rsidRPr="00B81922">
        <w:rPr>
          <w:rFonts w:ascii="Arial" w:hAnsi="Arial" w:cs="Arial"/>
        </w:rPr>
        <w:t xml:space="preserve"> energy efficiency</w:t>
      </w:r>
    </w:p>
    <w:p w14:paraId="034E8C16" w14:textId="77777777" w:rsidR="00530CF1" w:rsidRPr="00B81922" w:rsidRDefault="00000000">
      <w:pPr>
        <w:rPr>
          <w:rFonts w:ascii="Arial" w:hAnsi="Arial" w:cs="Arial"/>
        </w:rPr>
      </w:pPr>
      <w:r w:rsidRPr="00B81922">
        <w:rPr>
          <w:rFonts w:ascii="Arial" w:hAnsi="Arial" w:cs="Arial"/>
        </w:rPr>
        <w:t>• Deliver compliant, low-carbon new builds and refurbishment aligned with national standards</w:t>
      </w:r>
    </w:p>
    <w:p w14:paraId="7760D5EC" w14:textId="77777777" w:rsidR="00530CF1" w:rsidRPr="00B81922" w:rsidRDefault="00000000">
      <w:pPr>
        <w:rPr>
          <w:rFonts w:ascii="Arial" w:hAnsi="Arial" w:cs="Arial"/>
        </w:rPr>
      </w:pPr>
      <w:r w:rsidRPr="00B81922">
        <w:rPr>
          <w:rFonts w:ascii="Arial" w:hAnsi="Arial" w:cs="Arial"/>
        </w:rPr>
        <w:t>• Expand renewable energy generation were appropriate</w:t>
      </w:r>
    </w:p>
    <w:p w14:paraId="58FBA5D6" w14:textId="77777777" w:rsidR="00530CF1" w:rsidRPr="00B81922" w:rsidRDefault="00000000">
      <w:pPr>
        <w:rPr>
          <w:rFonts w:ascii="Arial" w:hAnsi="Arial" w:cs="Arial"/>
        </w:rPr>
      </w:pPr>
      <w:r w:rsidRPr="00B81922">
        <w:rPr>
          <w:rFonts w:ascii="Arial" w:hAnsi="Arial" w:cs="Arial"/>
        </w:rPr>
        <w:t>• Secure external funding where required to support Net Zero capital investment</w:t>
      </w:r>
    </w:p>
    <w:p w14:paraId="69D56E1B" w14:textId="7286E465" w:rsidR="00530CF1" w:rsidRPr="00B81922" w:rsidRDefault="00000000">
      <w:pPr>
        <w:rPr>
          <w:rFonts w:ascii="Arial" w:hAnsi="Arial" w:cs="Arial"/>
        </w:rPr>
      </w:pPr>
      <w:r w:rsidRPr="00B81922">
        <w:rPr>
          <w:rFonts w:ascii="Arial" w:hAnsi="Arial" w:cs="Arial"/>
        </w:rPr>
        <w:t>• Reduce furniture and equipment waste</w:t>
      </w:r>
    </w:p>
    <w:p w14:paraId="3BEDE8B0"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31046A7A" w14:textId="77777777" w:rsidR="00530CF1" w:rsidRPr="00B81922" w:rsidRDefault="00000000">
      <w:pPr>
        <w:rPr>
          <w:rFonts w:ascii="Arial" w:hAnsi="Arial" w:cs="Arial"/>
        </w:rPr>
      </w:pPr>
      <w:r w:rsidRPr="00B81922">
        <w:rPr>
          <w:rFonts w:ascii="Arial" w:hAnsi="Arial" w:cs="Arial"/>
        </w:rPr>
        <w:t>• Number of sites with fossil-fuel heating systems replaced or decommissioned</w:t>
      </w:r>
    </w:p>
    <w:p w14:paraId="11758930" w14:textId="77777777" w:rsidR="00530CF1" w:rsidRPr="00B81922" w:rsidRDefault="00000000">
      <w:pPr>
        <w:rPr>
          <w:rFonts w:ascii="Arial" w:hAnsi="Arial" w:cs="Arial"/>
        </w:rPr>
      </w:pPr>
      <w:r w:rsidRPr="00B81922">
        <w:rPr>
          <w:rFonts w:ascii="Arial" w:hAnsi="Arial" w:cs="Arial"/>
        </w:rPr>
        <w:t>• Total m² of GIA covered by LED lighting</w:t>
      </w:r>
    </w:p>
    <w:p w14:paraId="651CB91F" w14:textId="77777777" w:rsidR="00530CF1" w:rsidRPr="00B81922" w:rsidRDefault="00000000">
      <w:pPr>
        <w:rPr>
          <w:rFonts w:ascii="Arial" w:hAnsi="Arial" w:cs="Arial"/>
        </w:rPr>
      </w:pPr>
      <w:r w:rsidRPr="00B81922">
        <w:rPr>
          <w:rFonts w:ascii="Arial" w:hAnsi="Arial" w:cs="Arial"/>
        </w:rPr>
        <w:t>• Number of PSDS bids submitted and approved</w:t>
      </w:r>
    </w:p>
    <w:p w14:paraId="19F6CD6E" w14:textId="77777777" w:rsidR="00530CF1" w:rsidRPr="00B81922" w:rsidRDefault="00000000">
      <w:pPr>
        <w:rPr>
          <w:rFonts w:ascii="Arial" w:hAnsi="Arial" w:cs="Arial"/>
        </w:rPr>
      </w:pPr>
      <w:r w:rsidRPr="00B81922">
        <w:rPr>
          <w:rFonts w:ascii="Arial" w:hAnsi="Arial" w:cs="Arial"/>
        </w:rPr>
        <w:t>• Number of sites with operational PV systems</w:t>
      </w:r>
    </w:p>
    <w:p w14:paraId="55DCF655" w14:textId="3BF4D866" w:rsidR="00530CF1" w:rsidRPr="00B81922" w:rsidRDefault="00000000">
      <w:pPr>
        <w:rPr>
          <w:rFonts w:ascii="Arial" w:hAnsi="Arial" w:cs="Arial"/>
        </w:rPr>
      </w:pPr>
      <w:r w:rsidRPr="00B81922">
        <w:rPr>
          <w:rFonts w:ascii="Arial" w:hAnsi="Arial" w:cs="Arial"/>
        </w:rPr>
        <w:t>• Reduction in furniture going to landfill</w:t>
      </w:r>
    </w:p>
    <w:p w14:paraId="18E2F4A5" w14:textId="77777777" w:rsidR="00530CF1" w:rsidRPr="00257247" w:rsidRDefault="00000000" w:rsidP="005F312C">
      <w:pPr>
        <w:pStyle w:val="Heading2"/>
        <w:rPr>
          <w:color w:val="365F91" w:themeColor="accent1" w:themeShade="BF"/>
        </w:rPr>
      </w:pPr>
      <w:r w:rsidRPr="00257247">
        <w:rPr>
          <w:color w:val="365F91" w:themeColor="accent1" w:themeShade="BF"/>
        </w:rPr>
        <w:lastRenderedPageBreak/>
        <w:t>Roadmap to delivery</w:t>
      </w:r>
    </w:p>
    <w:p w14:paraId="55D028A5"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2DB41F74" w14:textId="77777777" w:rsidR="00530CF1" w:rsidRPr="00B81922" w:rsidRDefault="00000000">
      <w:pPr>
        <w:rPr>
          <w:rFonts w:ascii="Arial" w:hAnsi="Arial" w:cs="Arial"/>
        </w:rPr>
      </w:pPr>
      <w:r w:rsidRPr="00B81922">
        <w:rPr>
          <w:rFonts w:ascii="Arial" w:hAnsi="Arial" w:cs="Arial"/>
        </w:rPr>
        <w:t xml:space="preserve">• Complete ongoing installation of </w:t>
      </w:r>
      <w:proofErr w:type="spellStart"/>
      <w:r w:rsidRPr="00B81922">
        <w:rPr>
          <w:rFonts w:ascii="Arial" w:hAnsi="Arial" w:cs="Arial"/>
        </w:rPr>
        <w:t>decarbonised</w:t>
      </w:r>
      <w:proofErr w:type="spellEnd"/>
      <w:r w:rsidRPr="00B81922">
        <w:rPr>
          <w:rFonts w:ascii="Arial" w:hAnsi="Arial" w:cs="Arial"/>
        </w:rPr>
        <w:t xml:space="preserve"> heating systems and PV systems</w:t>
      </w:r>
    </w:p>
    <w:p w14:paraId="722772FD" w14:textId="77777777" w:rsidR="00530CF1" w:rsidRPr="00B81922" w:rsidRDefault="00000000">
      <w:pPr>
        <w:rPr>
          <w:rFonts w:ascii="Arial" w:hAnsi="Arial" w:cs="Arial"/>
        </w:rPr>
      </w:pPr>
      <w:r w:rsidRPr="00B81922">
        <w:rPr>
          <w:rFonts w:ascii="Arial" w:hAnsi="Arial" w:cs="Arial"/>
        </w:rPr>
        <w:t xml:space="preserve">• Review estates lighting data and develop business case for Trust-wide LED retro fit </w:t>
      </w:r>
      <w:proofErr w:type="spellStart"/>
      <w:r w:rsidRPr="00B81922">
        <w:rPr>
          <w:rFonts w:ascii="Arial" w:hAnsi="Arial" w:cs="Arial"/>
        </w:rPr>
        <w:t>programme</w:t>
      </w:r>
      <w:proofErr w:type="spellEnd"/>
    </w:p>
    <w:p w14:paraId="57D96097" w14:textId="3B1E9580" w:rsidR="00530CF1" w:rsidRPr="00B81922" w:rsidRDefault="00000000">
      <w:pPr>
        <w:rPr>
          <w:rFonts w:ascii="Arial" w:hAnsi="Arial" w:cs="Arial"/>
        </w:rPr>
      </w:pPr>
      <w:r w:rsidRPr="00B81922">
        <w:rPr>
          <w:rFonts w:ascii="Arial" w:hAnsi="Arial" w:cs="Arial"/>
        </w:rPr>
        <w:t>• Create a new furniture reuse system</w:t>
      </w:r>
    </w:p>
    <w:p w14:paraId="495B6DE0"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53930F3A" w14:textId="77777777" w:rsidR="00530CF1" w:rsidRPr="00B81922" w:rsidRDefault="00000000">
      <w:pPr>
        <w:rPr>
          <w:rFonts w:ascii="Arial" w:hAnsi="Arial" w:cs="Arial"/>
        </w:rPr>
      </w:pPr>
      <w:r w:rsidRPr="00B81922">
        <w:rPr>
          <w:rFonts w:ascii="Arial" w:hAnsi="Arial" w:cs="Arial"/>
        </w:rPr>
        <w:t xml:space="preserve">• </w:t>
      </w:r>
      <w:proofErr w:type="spellStart"/>
      <w:r w:rsidRPr="00B81922">
        <w:rPr>
          <w:rFonts w:ascii="Arial" w:hAnsi="Arial" w:cs="Arial"/>
        </w:rPr>
        <w:t>Finalise</w:t>
      </w:r>
      <w:proofErr w:type="spellEnd"/>
      <w:r w:rsidRPr="00B81922">
        <w:rPr>
          <w:rFonts w:ascii="Arial" w:hAnsi="Arial" w:cs="Arial"/>
        </w:rPr>
        <w:t xml:space="preserve"> updated HDPs to align with national deadlines</w:t>
      </w:r>
    </w:p>
    <w:p w14:paraId="08D744FD" w14:textId="2254B5BF" w:rsidR="00530CF1" w:rsidRPr="00B81922" w:rsidRDefault="00000000">
      <w:pPr>
        <w:rPr>
          <w:rFonts w:ascii="Arial" w:hAnsi="Arial" w:cs="Arial"/>
        </w:rPr>
      </w:pPr>
      <w:r w:rsidRPr="00B81922">
        <w:rPr>
          <w:rFonts w:ascii="Arial" w:hAnsi="Arial" w:cs="Arial"/>
        </w:rPr>
        <w:t>• Begin early planning for compliant newbuilds</w:t>
      </w:r>
    </w:p>
    <w:p w14:paraId="457E567B"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1AC88BD8" w14:textId="77777777" w:rsidR="00530CF1" w:rsidRPr="00B81922" w:rsidRDefault="00000000">
      <w:pPr>
        <w:rPr>
          <w:rFonts w:ascii="Arial" w:hAnsi="Arial" w:cs="Arial"/>
        </w:rPr>
      </w:pPr>
      <w:r w:rsidRPr="00B81922">
        <w:rPr>
          <w:rFonts w:ascii="Arial" w:hAnsi="Arial" w:cs="Arial"/>
        </w:rPr>
        <w:t>• Evaluate impact of current energy initiatives on ERIC and carbon metrics.</w:t>
      </w:r>
    </w:p>
    <w:p w14:paraId="7A187852" w14:textId="77777777" w:rsidR="00530CF1" w:rsidRPr="00B81922" w:rsidRDefault="00530CF1">
      <w:pPr>
        <w:rPr>
          <w:rFonts w:ascii="Arial" w:hAnsi="Arial" w:cs="Arial"/>
        </w:rPr>
      </w:pPr>
    </w:p>
    <w:p w14:paraId="2685C75F" w14:textId="26CD2D7D" w:rsidR="00530CF1" w:rsidRPr="00B81922" w:rsidRDefault="00000000" w:rsidP="005F312C">
      <w:pPr>
        <w:pStyle w:val="Heading1"/>
      </w:pPr>
      <w:r w:rsidRPr="00B81922">
        <w:t>Food and nutrition</w:t>
      </w:r>
    </w:p>
    <w:p w14:paraId="735AC030" w14:textId="2856EABB" w:rsidR="00530CF1" w:rsidRPr="00B81922" w:rsidRDefault="00000000">
      <w:pPr>
        <w:rPr>
          <w:rFonts w:ascii="Arial" w:hAnsi="Arial" w:cs="Arial"/>
        </w:rPr>
      </w:pPr>
      <w:r w:rsidRPr="00B81922">
        <w:rPr>
          <w:rFonts w:ascii="Arial" w:hAnsi="Arial" w:cs="Arial"/>
        </w:rPr>
        <w:t xml:space="preserve">Food and nutrition services play a meaningful role in the delivery of sustainable healthcare. By </w:t>
      </w:r>
      <w:proofErr w:type="spellStart"/>
      <w:r w:rsidRPr="00B81922">
        <w:rPr>
          <w:rFonts w:ascii="Arial" w:hAnsi="Arial" w:cs="Arial"/>
        </w:rPr>
        <w:t>optimising</w:t>
      </w:r>
      <w:proofErr w:type="spellEnd"/>
      <w:r w:rsidRPr="00B81922">
        <w:rPr>
          <w:rFonts w:ascii="Arial" w:hAnsi="Arial" w:cs="Arial"/>
        </w:rPr>
        <w:t xml:space="preserve"> menu design, </w:t>
      </w:r>
      <w:proofErr w:type="spellStart"/>
      <w:r w:rsidRPr="00B81922">
        <w:rPr>
          <w:rFonts w:ascii="Arial" w:hAnsi="Arial" w:cs="Arial"/>
        </w:rPr>
        <w:t>minimising</w:t>
      </w:r>
      <w:proofErr w:type="spellEnd"/>
      <w:r w:rsidRPr="00B81922">
        <w:rPr>
          <w:rFonts w:ascii="Arial" w:hAnsi="Arial" w:cs="Arial"/>
        </w:rPr>
        <w:t xml:space="preserve"> food waste, and embedding sustainable practices into catering operations, the NHS can reduce its environmental impact while promoting better health outcomes.</w:t>
      </w:r>
    </w:p>
    <w:p w14:paraId="3EA5E1A9" w14:textId="2977C500" w:rsidR="00530CF1" w:rsidRPr="00B81922" w:rsidRDefault="00000000">
      <w:pPr>
        <w:rPr>
          <w:rFonts w:ascii="Arial" w:hAnsi="Arial" w:cs="Arial"/>
        </w:rPr>
      </w:pPr>
      <w:r w:rsidRPr="00B81922">
        <w:rPr>
          <w:rFonts w:ascii="Arial" w:hAnsi="Arial" w:cs="Arial"/>
        </w:rPr>
        <w:t xml:space="preserve">At Humber Teaching NHS Foundation Trust, the Estates and Facilities Soft FM team is supported by a dedicated dietitian, who ensures patient menus meet nutritional standards while also considering healthier and lower-carbon options. </w:t>
      </w:r>
    </w:p>
    <w:p w14:paraId="7CCED699" w14:textId="77777777" w:rsidR="00530CF1" w:rsidRPr="00B81922" w:rsidRDefault="00000000">
      <w:pPr>
        <w:rPr>
          <w:rFonts w:ascii="Arial" w:hAnsi="Arial" w:cs="Arial"/>
        </w:rPr>
      </w:pPr>
      <w:r w:rsidRPr="00B81922">
        <w:rPr>
          <w:rFonts w:ascii="Arial" w:hAnsi="Arial" w:cs="Arial"/>
        </w:rPr>
        <w:t>The Trust has implemented a digital meal ordering system, as recommended by the Independent Review of NHS Hospital Food, which enables more precise meal planning, helps reduce overproduction, and supports accurate data capture on food usage and waste.</w:t>
      </w:r>
    </w:p>
    <w:p w14:paraId="29EC62A2" w14:textId="72CD6C43" w:rsidR="00530CF1" w:rsidRPr="00B81922" w:rsidRDefault="00000000">
      <w:pPr>
        <w:rPr>
          <w:rFonts w:ascii="Arial" w:hAnsi="Arial" w:cs="Arial"/>
        </w:rPr>
      </w:pPr>
      <w:r w:rsidRPr="00B81922">
        <w:rPr>
          <w:rFonts w:ascii="Arial" w:hAnsi="Arial" w:cs="Arial"/>
        </w:rPr>
        <w:t>The Trust actively monitors and reports on food waste in accordance with Estates Returns Information Collection (ERIC) requirements, using this data to drive continual improvement and set meaningful waste reduction targets.</w:t>
      </w:r>
    </w:p>
    <w:p w14:paraId="6C9099A5"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02634302" w14:textId="77777777" w:rsidR="00530CF1" w:rsidRPr="00B81922" w:rsidRDefault="00000000">
      <w:pPr>
        <w:rPr>
          <w:rFonts w:ascii="Arial" w:hAnsi="Arial" w:cs="Arial"/>
        </w:rPr>
      </w:pPr>
      <w:r w:rsidRPr="00B81922">
        <w:rPr>
          <w:rFonts w:ascii="Arial" w:hAnsi="Arial" w:cs="Arial"/>
        </w:rPr>
        <w:t>• Reduce food waste through active monitoring, data-driven planning, and staff engagement.</w:t>
      </w:r>
    </w:p>
    <w:p w14:paraId="350E6524" w14:textId="77777777" w:rsidR="00530CF1" w:rsidRPr="00B81922" w:rsidRDefault="00000000">
      <w:pPr>
        <w:rPr>
          <w:rFonts w:ascii="Arial" w:hAnsi="Arial" w:cs="Arial"/>
        </w:rPr>
      </w:pPr>
      <w:r w:rsidRPr="00B81922">
        <w:rPr>
          <w:rFonts w:ascii="Arial" w:hAnsi="Arial" w:cs="Arial"/>
        </w:rPr>
        <w:t>• Improve the sustainability of menus by offering healthier, seasonal, and lower-carbon meal options.</w:t>
      </w:r>
    </w:p>
    <w:p w14:paraId="044ADF84" w14:textId="77777777" w:rsidR="00530CF1" w:rsidRPr="00B81922" w:rsidRDefault="00000000">
      <w:pPr>
        <w:rPr>
          <w:rFonts w:ascii="Arial" w:hAnsi="Arial" w:cs="Arial"/>
        </w:rPr>
      </w:pPr>
      <w:r w:rsidRPr="00B81922">
        <w:rPr>
          <w:rFonts w:ascii="Arial" w:hAnsi="Arial" w:cs="Arial"/>
        </w:rPr>
        <w:lastRenderedPageBreak/>
        <w:t>• Enhance innovation and staff development in sustainable catering practices, through the participation of NHS Chef of the Year.</w:t>
      </w:r>
    </w:p>
    <w:p w14:paraId="4C564DA0" w14:textId="1803098D" w:rsidR="00530CF1" w:rsidRPr="00B81922" w:rsidRDefault="00000000">
      <w:pPr>
        <w:rPr>
          <w:rFonts w:ascii="Arial" w:hAnsi="Arial" w:cs="Arial"/>
        </w:rPr>
      </w:pPr>
      <w:r w:rsidRPr="00B81922">
        <w:rPr>
          <w:rFonts w:ascii="Arial" w:hAnsi="Arial" w:cs="Arial"/>
        </w:rPr>
        <w:t>• Support the use of NHS England Low Carbon Menu Bank</w:t>
      </w:r>
    </w:p>
    <w:p w14:paraId="25ECE338"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0BD5AAFF" w14:textId="77777777" w:rsidR="00530CF1" w:rsidRPr="00B81922" w:rsidRDefault="00000000">
      <w:pPr>
        <w:rPr>
          <w:rFonts w:ascii="Arial" w:hAnsi="Arial" w:cs="Arial"/>
        </w:rPr>
      </w:pPr>
      <w:r w:rsidRPr="00B81922">
        <w:rPr>
          <w:rFonts w:ascii="Arial" w:hAnsi="Arial" w:cs="Arial"/>
        </w:rPr>
        <w:t>• Food waste monitored and reported through ERIC, with annual reduction targets in place.</w:t>
      </w:r>
    </w:p>
    <w:p w14:paraId="1F0DAF56" w14:textId="77777777" w:rsidR="00530CF1" w:rsidRPr="00B81922" w:rsidRDefault="00000000">
      <w:pPr>
        <w:rPr>
          <w:rFonts w:ascii="Arial" w:hAnsi="Arial" w:cs="Arial"/>
        </w:rPr>
      </w:pPr>
      <w:r w:rsidRPr="00B81922">
        <w:rPr>
          <w:rFonts w:ascii="Arial" w:hAnsi="Arial" w:cs="Arial"/>
        </w:rPr>
        <w:t>• Percentage of menus incorporating plant-based and seasonal produce</w:t>
      </w:r>
    </w:p>
    <w:p w14:paraId="6B0C40A5" w14:textId="77777777" w:rsidR="00530CF1" w:rsidRPr="00B81922" w:rsidRDefault="00000000">
      <w:pPr>
        <w:rPr>
          <w:rFonts w:ascii="Arial" w:hAnsi="Arial" w:cs="Arial"/>
        </w:rPr>
      </w:pPr>
      <w:r w:rsidRPr="00B81922">
        <w:rPr>
          <w:rFonts w:ascii="Arial" w:hAnsi="Arial" w:cs="Arial"/>
        </w:rPr>
        <w:t>• Number of menu items adapted using the NHS Low Carbon Menu Bank.</w:t>
      </w:r>
    </w:p>
    <w:p w14:paraId="65A0B8E2" w14:textId="4792216A" w:rsidR="00530CF1" w:rsidRPr="00B81922" w:rsidRDefault="00000000">
      <w:pPr>
        <w:rPr>
          <w:rFonts w:ascii="Arial" w:hAnsi="Arial" w:cs="Arial"/>
        </w:rPr>
      </w:pPr>
      <w:r w:rsidRPr="00B81922">
        <w:rPr>
          <w:rFonts w:ascii="Arial" w:hAnsi="Arial" w:cs="Arial"/>
        </w:rPr>
        <w:t>• Participation in NHS Chef of the Year or similar culinary development initiatives.</w:t>
      </w:r>
    </w:p>
    <w:p w14:paraId="61E1AA3D" w14:textId="77777777" w:rsidR="00530CF1" w:rsidRPr="00257247" w:rsidRDefault="00000000" w:rsidP="005F312C">
      <w:pPr>
        <w:pStyle w:val="Heading2"/>
        <w:rPr>
          <w:color w:val="365F91" w:themeColor="accent1" w:themeShade="BF"/>
        </w:rPr>
      </w:pPr>
      <w:r w:rsidRPr="00257247">
        <w:rPr>
          <w:color w:val="365F91" w:themeColor="accent1" w:themeShade="BF"/>
        </w:rPr>
        <w:t>Roadmap to delivery</w:t>
      </w:r>
    </w:p>
    <w:p w14:paraId="294CD4D5"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038DADB9" w14:textId="77777777" w:rsidR="00530CF1" w:rsidRPr="00B81922" w:rsidRDefault="00000000">
      <w:pPr>
        <w:rPr>
          <w:rFonts w:ascii="Arial" w:hAnsi="Arial" w:cs="Arial"/>
        </w:rPr>
      </w:pPr>
      <w:r w:rsidRPr="00B81922">
        <w:rPr>
          <w:rFonts w:ascii="Arial" w:hAnsi="Arial" w:cs="Arial"/>
        </w:rPr>
        <w:t>• Review existing menus with support from the Trust dietitian to increase seasonal and plant-based options.</w:t>
      </w:r>
    </w:p>
    <w:p w14:paraId="6F8C13F7" w14:textId="4C18CC61" w:rsidR="00530CF1" w:rsidRPr="00B81922" w:rsidRDefault="00000000">
      <w:pPr>
        <w:rPr>
          <w:rFonts w:ascii="Arial" w:hAnsi="Arial" w:cs="Arial"/>
        </w:rPr>
      </w:pPr>
      <w:r w:rsidRPr="00B81922">
        <w:rPr>
          <w:rFonts w:ascii="Arial" w:hAnsi="Arial" w:cs="Arial"/>
        </w:rPr>
        <w:t>• Promote awareness of the NHS Low Carbon Menu Bank among catering teams.</w:t>
      </w:r>
    </w:p>
    <w:p w14:paraId="6BE6EF6D"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157C1CD0" w14:textId="77777777" w:rsidR="00530CF1" w:rsidRPr="00B81922" w:rsidRDefault="00000000">
      <w:pPr>
        <w:rPr>
          <w:rFonts w:ascii="Arial" w:hAnsi="Arial" w:cs="Arial"/>
        </w:rPr>
      </w:pPr>
      <w:r w:rsidRPr="00B81922">
        <w:rPr>
          <w:rFonts w:ascii="Arial" w:hAnsi="Arial" w:cs="Arial"/>
        </w:rPr>
        <w:t>• Deliver internal training or workshops to raise awareness of sustainable food practices.</w:t>
      </w:r>
    </w:p>
    <w:p w14:paraId="6463A032" w14:textId="6E657C27" w:rsidR="00530CF1" w:rsidRPr="00B81922" w:rsidRDefault="00000000">
      <w:pPr>
        <w:rPr>
          <w:rFonts w:ascii="Arial" w:hAnsi="Arial" w:cs="Arial"/>
        </w:rPr>
      </w:pPr>
      <w:r w:rsidRPr="00B81922">
        <w:rPr>
          <w:rFonts w:ascii="Arial" w:hAnsi="Arial" w:cs="Arial"/>
        </w:rPr>
        <w:t>• Submit an entry to NHS Chef of the Year to showcase innovation and sustainability in catering.</w:t>
      </w:r>
    </w:p>
    <w:p w14:paraId="5D05790D"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3601CE3A" w14:textId="77777777" w:rsidR="00530CF1" w:rsidRPr="00B81922" w:rsidRDefault="00000000">
      <w:pPr>
        <w:rPr>
          <w:rFonts w:ascii="Arial" w:hAnsi="Arial" w:cs="Arial"/>
        </w:rPr>
      </w:pPr>
      <w:r w:rsidRPr="00B81922">
        <w:rPr>
          <w:rFonts w:ascii="Arial" w:hAnsi="Arial" w:cs="Arial"/>
        </w:rPr>
        <w:t>• Evaluate progress against food waste and menu sustainability targets and report outcomes in the Trust’s Green Plan annual update.</w:t>
      </w:r>
    </w:p>
    <w:p w14:paraId="1008BE76" w14:textId="4658D8FB" w:rsidR="00530CF1" w:rsidRPr="00B81922" w:rsidRDefault="00000000">
      <w:pPr>
        <w:rPr>
          <w:rFonts w:ascii="Arial" w:hAnsi="Arial" w:cs="Arial"/>
        </w:rPr>
      </w:pPr>
      <w:r w:rsidRPr="00B81922">
        <w:rPr>
          <w:rFonts w:ascii="Arial" w:hAnsi="Arial" w:cs="Arial"/>
        </w:rPr>
        <w:t>• Share best practice across ICS partners and regional networks.</w:t>
      </w:r>
    </w:p>
    <w:p w14:paraId="3A7F75D5" w14:textId="77777777" w:rsidR="00530CF1" w:rsidRPr="00B81922" w:rsidRDefault="00530CF1">
      <w:pPr>
        <w:rPr>
          <w:rFonts w:ascii="Arial" w:hAnsi="Arial" w:cs="Arial"/>
        </w:rPr>
      </w:pPr>
    </w:p>
    <w:p w14:paraId="6F10E649" w14:textId="7FDAA543" w:rsidR="00530CF1" w:rsidRPr="00B81922" w:rsidRDefault="00000000" w:rsidP="005F312C">
      <w:pPr>
        <w:pStyle w:val="Heading1"/>
      </w:pPr>
      <w:r w:rsidRPr="00B81922">
        <w:t>Supply chain and procurement</w:t>
      </w:r>
    </w:p>
    <w:p w14:paraId="456B54F6" w14:textId="5988F5EA" w:rsidR="00530CF1" w:rsidRPr="00B81922" w:rsidRDefault="00000000">
      <w:pPr>
        <w:rPr>
          <w:rFonts w:ascii="Arial" w:hAnsi="Arial" w:cs="Arial"/>
        </w:rPr>
      </w:pPr>
      <w:r w:rsidRPr="00B81922">
        <w:rPr>
          <w:rFonts w:ascii="Arial" w:hAnsi="Arial" w:cs="Arial"/>
        </w:rPr>
        <w:t xml:space="preserve">Procurement plays a critical role in advancing the sustainability ambitions of the NHS. As </w:t>
      </w:r>
      <w:proofErr w:type="gramStart"/>
      <w:r w:rsidRPr="00B81922">
        <w:rPr>
          <w:rFonts w:ascii="Arial" w:hAnsi="Arial" w:cs="Arial"/>
        </w:rPr>
        <w:t>the majority of</w:t>
      </w:r>
      <w:proofErr w:type="gramEnd"/>
      <w:r w:rsidRPr="00B81922">
        <w:rPr>
          <w:rFonts w:ascii="Arial" w:hAnsi="Arial" w:cs="Arial"/>
        </w:rPr>
        <w:t xml:space="preserve"> the NHS carbon footprint lies within its supply chain (Scope 3 emissions), it is essential that all purchasing and contracting decisions actively support Net Zero goals.</w:t>
      </w:r>
    </w:p>
    <w:p w14:paraId="475DB483" w14:textId="764EFEF3" w:rsidR="00530CF1" w:rsidRPr="00B81922" w:rsidRDefault="00000000">
      <w:pPr>
        <w:rPr>
          <w:rFonts w:ascii="Arial" w:hAnsi="Arial" w:cs="Arial"/>
        </w:rPr>
      </w:pPr>
      <w:r w:rsidRPr="00B81922">
        <w:rPr>
          <w:rFonts w:ascii="Arial" w:hAnsi="Arial" w:cs="Arial"/>
        </w:rPr>
        <w:t xml:space="preserve">Humber Teaching NHS Foundation Trust has already taken a proactive stance by embedding a 10% sustainability and social value weighting into all tender evaluations. This approach aligns with both the Procurement Act 2023 and central policy guidance </w:t>
      </w:r>
      <w:r w:rsidRPr="00B81922">
        <w:rPr>
          <w:rFonts w:ascii="Arial" w:hAnsi="Arial" w:cs="Arial"/>
        </w:rPr>
        <w:lastRenderedPageBreak/>
        <w:t>under PPN 06/20 and PPN 02/25, ensuring that environmental and social impact are considered alongside quality and cost.</w:t>
      </w:r>
    </w:p>
    <w:p w14:paraId="4B6B8794" w14:textId="4F97B486" w:rsidR="00530CF1" w:rsidRPr="00B81922" w:rsidRDefault="00000000">
      <w:pPr>
        <w:rPr>
          <w:rFonts w:ascii="Arial" w:hAnsi="Arial" w:cs="Arial"/>
        </w:rPr>
      </w:pPr>
      <w:r w:rsidRPr="00B81922">
        <w:rPr>
          <w:rFonts w:ascii="Arial" w:hAnsi="Arial" w:cs="Arial"/>
        </w:rPr>
        <w:t>Procurement Manager is a member of the Sustainable Development Steering Group (SDSG), providing leadership and coordination on green procurement activities. Efforts are also underway to reduce the use of single-use products, supporting the transition toward sustainable alternatives such as reusable PPE and clinical devices, in collaboration with clinical improvement workstreams.</w:t>
      </w:r>
    </w:p>
    <w:p w14:paraId="7FB176F0" w14:textId="09F56973" w:rsidR="00530CF1" w:rsidRPr="00B81922" w:rsidRDefault="00000000">
      <w:pPr>
        <w:rPr>
          <w:rFonts w:ascii="Arial" w:hAnsi="Arial" w:cs="Arial"/>
        </w:rPr>
      </w:pPr>
      <w:r w:rsidRPr="00B81922">
        <w:rPr>
          <w:rFonts w:ascii="Arial" w:hAnsi="Arial" w:cs="Arial"/>
        </w:rPr>
        <w:t xml:space="preserve">Through these actions, the Trust aims to build a supply chain that not only delivers essential goods and </w:t>
      </w:r>
      <w:proofErr w:type="gramStart"/>
      <w:r w:rsidRPr="00B81922">
        <w:rPr>
          <w:rFonts w:ascii="Arial" w:hAnsi="Arial" w:cs="Arial"/>
        </w:rPr>
        <w:t>services, but</w:t>
      </w:r>
      <w:proofErr w:type="gramEnd"/>
      <w:r w:rsidRPr="00B81922">
        <w:rPr>
          <w:rFonts w:ascii="Arial" w:hAnsi="Arial" w:cs="Arial"/>
        </w:rPr>
        <w:t xml:space="preserve"> also contributes meaningfully to the NHS’s Net Zero ambition.</w:t>
      </w:r>
    </w:p>
    <w:p w14:paraId="562CDD7B"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1239A11C" w14:textId="77777777" w:rsidR="00530CF1" w:rsidRPr="00B81922" w:rsidRDefault="00000000">
      <w:pPr>
        <w:rPr>
          <w:rFonts w:ascii="Arial" w:hAnsi="Arial" w:cs="Arial"/>
        </w:rPr>
      </w:pPr>
      <w:r w:rsidRPr="00B81922">
        <w:rPr>
          <w:rFonts w:ascii="Arial" w:hAnsi="Arial" w:cs="Arial"/>
        </w:rPr>
        <w:t>• Embed sustainability and social value at the core of all procurement activity.</w:t>
      </w:r>
    </w:p>
    <w:p w14:paraId="47E67874" w14:textId="77777777" w:rsidR="00530CF1" w:rsidRPr="00B81922" w:rsidRDefault="00000000">
      <w:pPr>
        <w:rPr>
          <w:rFonts w:ascii="Arial" w:hAnsi="Arial" w:cs="Arial"/>
        </w:rPr>
      </w:pPr>
      <w:r w:rsidRPr="00B81922">
        <w:rPr>
          <w:rFonts w:ascii="Arial" w:hAnsi="Arial" w:cs="Arial"/>
        </w:rPr>
        <w:t>• Reduce supply chain-related emissions through supplier engagement, product selection, and governance reform.</w:t>
      </w:r>
    </w:p>
    <w:p w14:paraId="6FA7C657" w14:textId="77777777" w:rsidR="00530CF1" w:rsidRPr="00B81922" w:rsidRDefault="00000000">
      <w:pPr>
        <w:rPr>
          <w:rFonts w:ascii="Arial" w:hAnsi="Arial" w:cs="Arial"/>
        </w:rPr>
      </w:pPr>
      <w:r w:rsidRPr="00B81922">
        <w:rPr>
          <w:rFonts w:ascii="Arial" w:hAnsi="Arial" w:cs="Arial"/>
        </w:rPr>
        <w:t>• Transition away from single-use products where safe and appropriate.</w:t>
      </w:r>
    </w:p>
    <w:p w14:paraId="115003DA" w14:textId="26DB226B" w:rsidR="00530CF1" w:rsidRPr="00B81922" w:rsidRDefault="00000000">
      <w:pPr>
        <w:rPr>
          <w:rFonts w:ascii="Arial" w:hAnsi="Arial" w:cs="Arial"/>
        </w:rPr>
      </w:pPr>
      <w:r w:rsidRPr="00B81922">
        <w:rPr>
          <w:rFonts w:ascii="Arial" w:hAnsi="Arial" w:cs="Arial"/>
        </w:rPr>
        <w:t>• Equip procurement and finance teams with the tools and training to apply sustainability principles confidently</w:t>
      </w:r>
    </w:p>
    <w:p w14:paraId="45B07299"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1D293E76" w14:textId="77777777" w:rsidR="00530CF1" w:rsidRPr="00B81922" w:rsidRDefault="00000000">
      <w:pPr>
        <w:rPr>
          <w:rFonts w:ascii="Arial" w:hAnsi="Arial" w:cs="Arial"/>
        </w:rPr>
      </w:pPr>
      <w:r w:rsidRPr="00B81922">
        <w:rPr>
          <w:rFonts w:ascii="Arial" w:hAnsi="Arial" w:cs="Arial"/>
        </w:rPr>
        <w:t>• 100% of new tenders to include a minimum 10% weighting for sustainability and social value.</w:t>
      </w:r>
    </w:p>
    <w:p w14:paraId="524DF767" w14:textId="77777777" w:rsidR="00530CF1" w:rsidRPr="00B81922" w:rsidRDefault="00000000">
      <w:pPr>
        <w:rPr>
          <w:rFonts w:ascii="Arial" w:hAnsi="Arial" w:cs="Arial"/>
        </w:rPr>
      </w:pPr>
      <w:r w:rsidRPr="00B81922">
        <w:rPr>
          <w:rFonts w:ascii="Arial" w:hAnsi="Arial" w:cs="Arial"/>
        </w:rPr>
        <w:t>• Number of single-use product lines replaced with sustainable alternatives.</w:t>
      </w:r>
    </w:p>
    <w:p w14:paraId="207A15FE" w14:textId="3FC41AD8" w:rsidR="00530CF1" w:rsidRPr="00B81922" w:rsidRDefault="00000000">
      <w:pPr>
        <w:rPr>
          <w:rFonts w:ascii="Arial" w:hAnsi="Arial" w:cs="Arial"/>
        </w:rPr>
      </w:pPr>
      <w:r w:rsidRPr="00B81922">
        <w:rPr>
          <w:rFonts w:ascii="Arial" w:hAnsi="Arial" w:cs="Arial"/>
        </w:rPr>
        <w:t>• Percentage of procurement and finance staff trained on PPN 06/20 and PPN 02/25 requirements.</w:t>
      </w:r>
    </w:p>
    <w:p w14:paraId="06AA7E14" w14:textId="77777777" w:rsidR="00530CF1" w:rsidRPr="00257247" w:rsidRDefault="00000000" w:rsidP="005F312C">
      <w:pPr>
        <w:pStyle w:val="Heading2"/>
        <w:rPr>
          <w:color w:val="365F91" w:themeColor="accent1" w:themeShade="BF"/>
        </w:rPr>
      </w:pPr>
      <w:r w:rsidRPr="00257247">
        <w:rPr>
          <w:color w:val="365F91" w:themeColor="accent1" w:themeShade="BF"/>
        </w:rPr>
        <w:t>Roadmap to delivery</w:t>
      </w:r>
    </w:p>
    <w:p w14:paraId="55B37FB5"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7B3917E2" w14:textId="6D319F31" w:rsidR="00530CF1" w:rsidRPr="00B81922" w:rsidRDefault="00000000">
      <w:pPr>
        <w:rPr>
          <w:rFonts w:ascii="Arial" w:hAnsi="Arial" w:cs="Arial"/>
        </w:rPr>
      </w:pPr>
      <w:r w:rsidRPr="00B81922">
        <w:rPr>
          <w:rFonts w:ascii="Arial" w:hAnsi="Arial" w:cs="Arial"/>
        </w:rPr>
        <w:t xml:space="preserve">•Begin supplier engagement </w:t>
      </w:r>
      <w:proofErr w:type="spellStart"/>
      <w:r w:rsidRPr="00B81922">
        <w:rPr>
          <w:rFonts w:ascii="Arial" w:hAnsi="Arial" w:cs="Arial"/>
        </w:rPr>
        <w:t>programme</w:t>
      </w:r>
      <w:proofErr w:type="spellEnd"/>
      <w:r w:rsidRPr="00B81922">
        <w:rPr>
          <w:rFonts w:ascii="Arial" w:hAnsi="Arial" w:cs="Arial"/>
        </w:rPr>
        <w:t xml:space="preserve"> focused on Net Zero readiness and shared sustainability goals.</w:t>
      </w:r>
    </w:p>
    <w:p w14:paraId="58562A2B"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7C9C9134" w14:textId="77777777" w:rsidR="00530CF1" w:rsidRPr="00B81922" w:rsidRDefault="00000000">
      <w:pPr>
        <w:rPr>
          <w:rFonts w:ascii="Arial" w:hAnsi="Arial" w:cs="Arial"/>
        </w:rPr>
      </w:pPr>
      <w:r w:rsidRPr="00B81922">
        <w:rPr>
          <w:rFonts w:ascii="Arial" w:hAnsi="Arial" w:cs="Arial"/>
        </w:rPr>
        <w:t>• Expand implementation of reusable clinical products in collaboration with clinical improvement teams.</w:t>
      </w:r>
    </w:p>
    <w:p w14:paraId="23FA6B0F" w14:textId="61469E3E" w:rsidR="00530CF1" w:rsidRPr="00B81922" w:rsidRDefault="00000000">
      <w:pPr>
        <w:rPr>
          <w:rFonts w:ascii="Arial" w:hAnsi="Arial" w:cs="Arial"/>
        </w:rPr>
      </w:pPr>
      <w:r w:rsidRPr="00B81922">
        <w:rPr>
          <w:rFonts w:ascii="Arial" w:hAnsi="Arial" w:cs="Arial"/>
        </w:rPr>
        <w:t>• Track supplier participation in Evergreen Assessment and report progress through SDSG.</w:t>
      </w:r>
    </w:p>
    <w:p w14:paraId="58E9D90B"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1E38567C" w14:textId="77777777" w:rsidR="00530CF1" w:rsidRPr="00B81922" w:rsidRDefault="00000000">
      <w:pPr>
        <w:rPr>
          <w:rFonts w:ascii="Arial" w:hAnsi="Arial" w:cs="Arial"/>
        </w:rPr>
      </w:pPr>
      <w:r w:rsidRPr="00B81922">
        <w:rPr>
          <w:rFonts w:ascii="Arial" w:hAnsi="Arial" w:cs="Arial"/>
        </w:rPr>
        <w:t>• Report annual procurement-related emissions reductions as part of Green Plan review.</w:t>
      </w:r>
    </w:p>
    <w:p w14:paraId="1A68407F" w14:textId="23B4FF82" w:rsidR="00530CF1" w:rsidRPr="00B81922" w:rsidRDefault="00000000">
      <w:pPr>
        <w:rPr>
          <w:rFonts w:ascii="Arial" w:hAnsi="Arial" w:cs="Arial"/>
        </w:rPr>
      </w:pPr>
      <w:r w:rsidRPr="00B81922">
        <w:rPr>
          <w:rFonts w:ascii="Arial" w:hAnsi="Arial" w:cs="Arial"/>
        </w:rPr>
        <w:lastRenderedPageBreak/>
        <w:t>• Share sustainable procurement best practice across ICS procurement forums.</w:t>
      </w:r>
    </w:p>
    <w:p w14:paraId="2C7EF851" w14:textId="77777777" w:rsidR="00530CF1" w:rsidRPr="00B81922" w:rsidRDefault="00530CF1">
      <w:pPr>
        <w:rPr>
          <w:rFonts w:ascii="Arial" w:hAnsi="Arial" w:cs="Arial"/>
        </w:rPr>
      </w:pPr>
    </w:p>
    <w:p w14:paraId="5C53D0F4" w14:textId="71BAD67F" w:rsidR="00530CF1" w:rsidRPr="00B81922" w:rsidRDefault="00000000" w:rsidP="005F312C">
      <w:pPr>
        <w:pStyle w:val="Heading1"/>
      </w:pPr>
      <w:r w:rsidRPr="00B81922">
        <w:t>Adaptation</w:t>
      </w:r>
    </w:p>
    <w:p w14:paraId="168404BF" w14:textId="77777777" w:rsidR="00530CF1" w:rsidRPr="00B81922" w:rsidRDefault="00000000">
      <w:pPr>
        <w:rPr>
          <w:rFonts w:ascii="Arial" w:hAnsi="Arial" w:cs="Arial"/>
        </w:rPr>
      </w:pPr>
      <w:r w:rsidRPr="00B81922">
        <w:rPr>
          <w:rFonts w:ascii="Arial" w:hAnsi="Arial" w:cs="Arial"/>
        </w:rPr>
        <w:t xml:space="preserve">Climate change poses a growing risk to the ability of the NHS to deliver safe, effective, and uninterrupted services. Rising temperatures, more frequent extreme weather events, and increased pressure on infrastructure all present significant operational and clinical challenges. </w:t>
      </w:r>
    </w:p>
    <w:p w14:paraId="3FD4B178" w14:textId="27C3AFCA" w:rsidR="00530CF1" w:rsidRPr="00B81922" w:rsidRDefault="00000000">
      <w:pPr>
        <w:rPr>
          <w:rFonts w:ascii="Arial" w:hAnsi="Arial" w:cs="Arial"/>
        </w:rPr>
      </w:pPr>
      <w:r w:rsidRPr="00B81922">
        <w:rPr>
          <w:rFonts w:ascii="Arial" w:hAnsi="Arial" w:cs="Arial"/>
        </w:rPr>
        <w:t xml:space="preserve">Humber Teaching NHS Foundation Trust </w:t>
      </w:r>
      <w:proofErr w:type="spellStart"/>
      <w:r w:rsidRPr="00B81922">
        <w:rPr>
          <w:rFonts w:ascii="Arial" w:hAnsi="Arial" w:cs="Arial"/>
        </w:rPr>
        <w:t>recognises</w:t>
      </w:r>
      <w:proofErr w:type="spellEnd"/>
      <w:r w:rsidRPr="00B81922">
        <w:rPr>
          <w:rFonts w:ascii="Arial" w:hAnsi="Arial" w:cs="Arial"/>
        </w:rPr>
        <w:t xml:space="preserve"> that adaptation and resilience are essential components of its sustainability strategy and must be embedded within both business continuity and long-term estates and service planning.</w:t>
      </w:r>
    </w:p>
    <w:p w14:paraId="3CCE8BAB" w14:textId="193B905B" w:rsidR="00530CF1" w:rsidRPr="00B81922" w:rsidRDefault="00000000">
      <w:pPr>
        <w:rPr>
          <w:rFonts w:ascii="Arial" w:hAnsi="Arial" w:cs="Arial"/>
        </w:rPr>
      </w:pPr>
      <w:r w:rsidRPr="00B81922">
        <w:rPr>
          <w:rFonts w:ascii="Arial" w:hAnsi="Arial" w:cs="Arial"/>
        </w:rPr>
        <w:t>The Trust actively works to integrate climate resilience into emergency preparedness, infrastructure investment, and operational procedures. In alignment with national requirements, the Trust ensures compliance with the adaptation provisions of the NHS Core Standards for Emergency Preparedness, Resilience and Response (EPRR) and the NHS Standard Contract, helping to maintain business continuity during periods of extreme weather or environmental stress.</w:t>
      </w:r>
    </w:p>
    <w:p w14:paraId="1E3C436C" w14:textId="1D1DC0D6" w:rsidR="00530CF1" w:rsidRPr="00B81922" w:rsidRDefault="00000000">
      <w:pPr>
        <w:rPr>
          <w:rFonts w:ascii="Arial" w:hAnsi="Arial" w:cs="Arial"/>
        </w:rPr>
      </w:pPr>
      <w:r w:rsidRPr="00B81922">
        <w:rPr>
          <w:rFonts w:ascii="Arial" w:hAnsi="Arial" w:cs="Arial"/>
        </w:rPr>
        <w:t>Collaborative working between sustainability leads, public health, emergency planning, and estates teams at both Trust and system level is critical to developing robust, place-based responses. Furthermore, climate adaptation is considered in the design of new facilities, with opportunities for improved green space, sustainable drainage, and passive cooling solutions identified as part of the Trust’s infrastructure planning.</w:t>
      </w:r>
    </w:p>
    <w:p w14:paraId="75DD0E14" w14:textId="197B9A0D" w:rsidR="00530CF1" w:rsidRPr="00B81922" w:rsidRDefault="00000000">
      <w:pPr>
        <w:rPr>
          <w:rFonts w:ascii="Arial" w:hAnsi="Arial" w:cs="Arial"/>
        </w:rPr>
      </w:pPr>
      <w:r w:rsidRPr="00B81922">
        <w:rPr>
          <w:rFonts w:ascii="Arial" w:hAnsi="Arial" w:cs="Arial"/>
        </w:rPr>
        <w:t xml:space="preserve">The Trust also plays an active role in the cascading of weather health alerts, ensuring timely and relevant messaging reaches all areas of the </w:t>
      </w:r>
      <w:proofErr w:type="spellStart"/>
      <w:r w:rsidRPr="00B81922">
        <w:rPr>
          <w:rFonts w:ascii="Arial" w:hAnsi="Arial" w:cs="Arial"/>
        </w:rPr>
        <w:t>organisation</w:t>
      </w:r>
      <w:proofErr w:type="spellEnd"/>
      <w:r w:rsidRPr="00B81922">
        <w:rPr>
          <w:rFonts w:ascii="Arial" w:hAnsi="Arial" w:cs="Arial"/>
        </w:rPr>
        <w:t xml:space="preserve"> in accordance with the UK Adverse Weather and Health Plan.</w:t>
      </w:r>
    </w:p>
    <w:p w14:paraId="3C7217DE" w14:textId="77777777" w:rsidR="00530CF1" w:rsidRPr="00257247" w:rsidRDefault="00000000" w:rsidP="005F312C">
      <w:pPr>
        <w:pStyle w:val="Heading2"/>
        <w:rPr>
          <w:color w:val="365F91" w:themeColor="accent1" w:themeShade="BF"/>
        </w:rPr>
      </w:pPr>
      <w:r w:rsidRPr="00257247">
        <w:rPr>
          <w:color w:val="365F91" w:themeColor="accent1" w:themeShade="BF"/>
        </w:rPr>
        <w:t>Aims</w:t>
      </w:r>
    </w:p>
    <w:p w14:paraId="000A6A35" w14:textId="77777777" w:rsidR="00530CF1" w:rsidRPr="00B81922" w:rsidRDefault="00000000">
      <w:pPr>
        <w:rPr>
          <w:rFonts w:ascii="Arial" w:hAnsi="Arial" w:cs="Arial"/>
        </w:rPr>
      </w:pPr>
      <w:r w:rsidRPr="00B81922">
        <w:rPr>
          <w:rFonts w:ascii="Arial" w:hAnsi="Arial" w:cs="Arial"/>
        </w:rPr>
        <w:t>• Strengthen climate resilience across all services, infrastructure, and digital systems.</w:t>
      </w:r>
    </w:p>
    <w:p w14:paraId="2A991C77" w14:textId="77777777" w:rsidR="00530CF1" w:rsidRPr="00B81922" w:rsidRDefault="00000000">
      <w:pPr>
        <w:rPr>
          <w:rFonts w:ascii="Arial" w:hAnsi="Arial" w:cs="Arial"/>
        </w:rPr>
      </w:pPr>
      <w:r w:rsidRPr="00B81922">
        <w:rPr>
          <w:rFonts w:ascii="Arial" w:hAnsi="Arial" w:cs="Arial"/>
        </w:rPr>
        <w:t>• Embed climate adaptation into emergency preparedness, estate planning, and new capital development.</w:t>
      </w:r>
    </w:p>
    <w:p w14:paraId="62826750" w14:textId="35D1A310" w:rsidR="00530CF1" w:rsidRPr="00B81922" w:rsidRDefault="00000000">
      <w:pPr>
        <w:rPr>
          <w:rFonts w:ascii="Arial" w:hAnsi="Arial" w:cs="Arial"/>
        </w:rPr>
      </w:pPr>
      <w:r w:rsidRPr="00B81922">
        <w:rPr>
          <w:rFonts w:ascii="Arial" w:hAnsi="Arial" w:cs="Arial"/>
        </w:rPr>
        <w:t xml:space="preserve">• Support </w:t>
      </w:r>
      <w:proofErr w:type="spellStart"/>
      <w:r w:rsidRPr="00B81922">
        <w:rPr>
          <w:rFonts w:ascii="Arial" w:hAnsi="Arial" w:cs="Arial"/>
        </w:rPr>
        <w:t>organisational</w:t>
      </w:r>
      <w:proofErr w:type="spellEnd"/>
      <w:r w:rsidRPr="00B81922">
        <w:rPr>
          <w:rFonts w:ascii="Arial" w:hAnsi="Arial" w:cs="Arial"/>
        </w:rPr>
        <w:t xml:space="preserve"> preparedness for extreme weather events to safeguard patient care and staff safety.</w:t>
      </w:r>
    </w:p>
    <w:p w14:paraId="3FC251F0" w14:textId="77777777" w:rsidR="00530CF1" w:rsidRPr="00257247" w:rsidRDefault="00000000" w:rsidP="005F312C">
      <w:pPr>
        <w:pStyle w:val="Heading2"/>
        <w:rPr>
          <w:color w:val="365F91" w:themeColor="accent1" w:themeShade="BF"/>
        </w:rPr>
      </w:pPr>
      <w:r w:rsidRPr="00257247">
        <w:rPr>
          <w:color w:val="365F91" w:themeColor="accent1" w:themeShade="BF"/>
        </w:rPr>
        <w:t>Measurables</w:t>
      </w:r>
    </w:p>
    <w:p w14:paraId="1CCE30EB" w14:textId="77777777" w:rsidR="00530CF1" w:rsidRPr="00B81922" w:rsidRDefault="00000000">
      <w:pPr>
        <w:rPr>
          <w:rFonts w:ascii="Arial" w:hAnsi="Arial" w:cs="Arial"/>
        </w:rPr>
      </w:pPr>
      <w:r w:rsidRPr="00B81922">
        <w:rPr>
          <w:rFonts w:ascii="Arial" w:hAnsi="Arial" w:cs="Arial"/>
        </w:rPr>
        <w:t>• Full compliance with EPRR climate adaptation standards and NHS Standard Contract requirements.</w:t>
      </w:r>
    </w:p>
    <w:p w14:paraId="2D375AD9" w14:textId="77777777" w:rsidR="00530CF1" w:rsidRPr="00B81922" w:rsidRDefault="00000000">
      <w:pPr>
        <w:rPr>
          <w:rFonts w:ascii="Arial" w:hAnsi="Arial" w:cs="Arial"/>
        </w:rPr>
      </w:pPr>
      <w:r w:rsidRPr="00B81922">
        <w:rPr>
          <w:rFonts w:ascii="Arial" w:hAnsi="Arial" w:cs="Arial"/>
        </w:rPr>
        <w:t>• Number of Trust sites with climate risk assessments or adaptation plans in place.</w:t>
      </w:r>
    </w:p>
    <w:p w14:paraId="3FA50881" w14:textId="77777777" w:rsidR="00530CF1" w:rsidRPr="00B81922" w:rsidRDefault="00000000">
      <w:pPr>
        <w:rPr>
          <w:rFonts w:ascii="Arial" w:hAnsi="Arial" w:cs="Arial"/>
        </w:rPr>
      </w:pPr>
      <w:r w:rsidRPr="00B81922">
        <w:rPr>
          <w:rFonts w:ascii="Arial" w:hAnsi="Arial" w:cs="Arial"/>
        </w:rPr>
        <w:lastRenderedPageBreak/>
        <w:t>• Evidence of climate adaptation factors included in all new capital project business cases.</w:t>
      </w:r>
    </w:p>
    <w:p w14:paraId="39441641" w14:textId="77777777" w:rsidR="00530CF1" w:rsidRPr="00B81922" w:rsidRDefault="00000000">
      <w:pPr>
        <w:rPr>
          <w:rFonts w:ascii="Arial" w:hAnsi="Arial" w:cs="Arial"/>
        </w:rPr>
      </w:pPr>
      <w:r w:rsidRPr="00B81922">
        <w:rPr>
          <w:rFonts w:ascii="Arial" w:hAnsi="Arial" w:cs="Arial"/>
        </w:rPr>
        <w:t>• Confirmation of Trust-wide weather alert distribution system in place and tested at least twice per year.</w:t>
      </w:r>
    </w:p>
    <w:p w14:paraId="6FB2C8DB" w14:textId="46697B72" w:rsidR="00530CF1" w:rsidRPr="00B81922" w:rsidRDefault="00000000">
      <w:pPr>
        <w:rPr>
          <w:rFonts w:ascii="Arial" w:hAnsi="Arial" w:cs="Arial"/>
        </w:rPr>
      </w:pPr>
      <w:r w:rsidRPr="00B81922">
        <w:rPr>
          <w:rFonts w:ascii="Arial" w:hAnsi="Arial" w:cs="Arial"/>
        </w:rPr>
        <w:t>• Delivery of joint planning meetings between sustainability, estates, public health, and emergency response teams.</w:t>
      </w:r>
    </w:p>
    <w:p w14:paraId="38D06BE6" w14:textId="77777777" w:rsidR="00530CF1" w:rsidRPr="00257247" w:rsidRDefault="00000000" w:rsidP="005F312C">
      <w:pPr>
        <w:pStyle w:val="Heading2"/>
        <w:rPr>
          <w:color w:val="365F91" w:themeColor="accent1" w:themeShade="BF"/>
        </w:rPr>
      </w:pPr>
      <w:r w:rsidRPr="00257247">
        <w:rPr>
          <w:color w:val="365F91" w:themeColor="accent1" w:themeShade="BF"/>
        </w:rPr>
        <w:t>Roadmap to delivery</w:t>
      </w:r>
    </w:p>
    <w:p w14:paraId="2EC83797" w14:textId="77777777" w:rsidR="00530CF1" w:rsidRPr="00257247" w:rsidRDefault="00000000" w:rsidP="005F312C">
      <w:pPr>
        <w:pStyle w:val="Heading3"/>
        <w:rPr>
          <w:color w:val="365F91" w:themeColor="accent1" w:themeShade="BF"/>
        </w:rPr>
      </w:pPr>
      <w:r w:rsidRPr="00257247">
        <w:rPr>
          <w:color w:val="365F91" w:themeColor="accent1" w:themeShade="BF"/>
        </w:rPr>
        <w:t>2025</w:t>
      </w:r>
    </w:p>
    <w:p w14:paraId="520957F2" w14:textId="77777777" w:rsidR="00530CF1" w:rsidRPr="00B81922" w:rsidRDefault="00000000">
      <w:pPr>
        <w:rPr>
          <w:rFonts w:ascii="Arial" w:hAnsi="Arial" w:cs="Arial"/>
        </w:rPr>
      </w:pPr>
      <w:r w:rsidRPr="00B81922">
        <w:rPr>
          <w:rFonts w:ascii="Arial" w:hAnsi="Arial" w:cs="Arial"/>
        </w:rPr>
        <w:t>• Review and confirm compliance with EPRR and NHS Standard Contract adaptation provisions.</w:t>
      </w:r>
    </w:p>
    <w:p w14:paraId="4B7FD2AE" w14:textId="77777777" w:rsidR="00530CF1" w:rsidRPr="00B81922" w:rsidRDefault="00000000">
      <w:pPr>
        <w:rPr>
          <w:rFonts w:ascii="Arial" w:hAnsi="Arial" w:cs="Arial"/>
        </w:rPr>
      </w:pPr>
      <w:r w:rsidRPr="00B81922">
        <w:rPr>
          <w:rFonts w:ascii="Arial" w:hAnsi="Arial" w:cs="Arial"/>
        </w:rPr>
        <w:t xml:space="preserve">• Conduct baseline climate risk assessments for key sites and </w:t>
      </w:r>
      <w:proofErr w:type="spellStart"/>
      <w:r w:rsidRPr="00B81922">
        <w:rPr>
          <w:rFonts w:ascii="Arial" w:hAnsi="Arial" w:cs="Arial"/>
        </w:rPr>
        <w:t>prioritise</w:t>
      </w:r>
      <w:proofErr w:type="spellEnd"/>
      <w:r w:rsidRPr="00B81922">
        <w:rPr>
          <w:rFonts w:ascii="Arial" w:hAnsi="Arial" w:cs="Arial"/>
        </w:rPr>
        <w:t xml:space="preserve"> areas requiring urgent resilience measures.</w:t>
      </w:r>
    </w:p>
    <w:p w14:paraId="10AD3795" w14:textId="57B1AE10" w:rsidR="00530CF1" w:rsidRPr="00B81922" w:rsidRDefault="00000000">
      <w:pPr>
        <w:rPr>
          <w:rFonts w:ascii="Arial" w:hAnsi="Arial" w:cs="Arial"/>
        </w:rPr>
      </w:pPr>
      <w:r w:rsidRPr="00B81922">
        <w:rPr>
          <w:rFonts w:ascii="Arial" w:hAnsi="Arial" w:cs="Arial"/>
        </w:rPr>
        <w:t>• Establish formal links between sustainability, emergency planning, and estates teams to coordinate response planning.</w:t>
      </w:r>
    </w:p>
    <w:p w14:paraId="603A0587" w14:textId="77777777" w:rsidR="00530CF1" w:rsidRPr="00257247" w:rsidRDefault="00000000" w:rsidP="005F312C">
      <w:pPr>
        <w:pStyle w:val="Heading3"/>
        <w:rPr>
          <w:color w:val="365F91" w:themeColor="accent1" w:themeShade="BF"/>
        </w:rPr>
      </w:pPr>
      <w:r w:rsidRPr="00257247">
        <w:rPr>
          <w:color w:val="365F91" w:themeColor="accent1" w:themeShade="BF"/>
        </w:rPr>
        <w:t>2026</w:t>
      </w:r>
    </w:p>
    <w:p w14:paraId="2CF2F7F1" w14:textId="77777777" w:rsidR="00530CF1" w:rsidRPr="00B81922" w:rsidRDefault="00000000">
      <w:pPr>
        <w:rPr>
          <w:rFonts w:ascii="Arial" w:hAnsi="Arial" w:cs="Arial"/>
        </w:rPr>
      </w:pPr>
      <w:r w:rsidRPr="00B81922">
        <w:rPr>
          <w:rFonts w:ascii="Arial" w:hAnsi="Arial" w:cs="Arial"/>
        </w:rPr>
        <w:t>• Review and update adverse weather procedures and ensure effective Trust-wide dissemination of alerts.</w:t>
      </w:r>
    </w:p>
    <w:p w14:paraId="322A94F8" w14:textId="566F79FF" w:rsidR="00530CF1" w:rsidRPr="00B81922" w:rsidRDefault="00000000">
      <w:pPr>
        <w:rPr>
          <w:rFonts w:ascii="Arial" w:hAnsi="Arial" w:cs="Arial"/>
        </w:rPr>
      </w:pPr>
      <w:r w:rsidRPr="00B81922">
        <w:rPr>
          <w:rFonts w:ascii="Arial" w:hAnsi="Arial" w:cs="Arial"/>
        </w:rPr>
        <w:t>• Conduct joint training exercises to test readiness for heatwaves, flooding, and storm-related disruption.</w:t>
      </w:r>
    </w:p>
    <w:p w14:paraId="26A1C9E2" w14:textId="77777777" w:rsidR="00530CF1" w:rsidRPr="00257247" w:rsidRDefault="00000000" w:rsidP="005F312C">
      <w:pPr>
        <w:pStyle w:val="Heading3"/>
        <w:rPr>
          <w:color w:val="365F91" w:themeColor="accent1" w:themeShade="BF"/>
        </w:rPr>
      </w:pPr>
      <w:r w:rsidRPr="00257247">
        <w:rPr>
          <w:color w:val="365F91" w:themeColor="accent1" w:themeShade="BF"/>
        </w:rPr>
        <w:t>2027</w:t>
      </w:r>
    </w:p>
    <w:p w14:paraId="27CAB886" w14:textId="77777777" w:rsidR="00530CF1" w:rsidRPr="00B81922" w:rsidRDefault="00000000">
      <w:pPr>
        <w:rPr>
          <w:rFonts w:ascii="Arial" w:hAnsi="Arial" w:cs="Arial"/>
        </w:rPr>
      </w:pPr>
      <w:r w:rsidRPr="00B81922">
        <w:rPr>
          <w:rFonts w:ascii="Arial" w:hAnsi="Arial" w:cs="Arial"/>
        </w:rPr>
        <w:t>• Complete climate risk assessments for all remaining sites and update service continuity plans accordingly.</w:t>
      </w:r>
    </w:p>
    <w:p w14:paraId="04156B8D" w14:textId="0DA811D8" w:rsidR="00530CF1" w:rsidRPr="00B81922" w:rsidRDefault="00000000">
      <w:pPr>
        <w:rPr>
          <w:rFonts w:ascii="Arial" w:hAnsi="Arial" w:cs="Arial"/>
        </w:rPr>
      </w:pPr>
      <w:r w:rsidRPr="00B81922">
        <w:rPr>
          <w:rFonts w:ascii="Arial" w:hAnsi="Arial" w:cs="Arial"/>
        </w:rPr>
        <w:t>• Share good practice with ICS and regional partners, and support alignment of adaptation plans at system level.</w:t>
      </w:r>
    </w:p>
    <w:p w14:paraId="44CBB858" w14:textId="77777777" w:rsidR="00530CF1" w:rsidRPr="00B81922" w:rsidRDefault="00000000">
      <w:pPr>
        <w:rPr>
          <w:rFonts w:ascii="Arial" w:hAnsi="Arial" w:cs="Arial"/>
        </w:rPr>
      </w:pPr>
      <w:r w:rsidRPr="00B81922">
        <w:rPr>
          <w:rFonts w:ascii="Arial" w:hAnsi="Arial" w:cs="Arial"/>
        </w:rPr>
        <w:t>Humber Teaching NHS Foundation Trust</w:t>
      </w:r>
    </w:p>
    <w:p w14:paraId="566BE3AE" w14:textId="77777777" w:rsidR="00530CF1" w:rsidRPr="00B81922" w:rsidRDefault="00000000">
      <w:pPr>
        <w:rPr>
          <w:rFonts w:ascii="Arial" w:hAnsi="Arial" w:cs="Arial"/>
        </w:rPr>
      </w:pPr>
      <w:r w:rsidRPr="00B81922">
        <w:rPr>
          <w:rFonts w:ascii="Arial" w:hAnsi="Arial" w:cs="Arial"/>
        </w:rPr>
        <w:t>Willerby Hill</w:t>
      </w:r>
    </w:p>
    <w:p w14:paraId="040A70A4" w14:textId="77777777" w:rsidR="00530CF1" w:rsidRPr="00B81922" w:rsidRDefault="00000000">
      <w:pPr>
        <w:rPr>
          <w:rFonts w:ascii="Arial" w:hAnsi="Arial" w:cs="Arial"/>
        </w:rPr>
      </w:pPr>
      <w:r w:rsidRPr="00B81922">
        <w:rPr>
          <w:rFonts w:ascii="Arial" w:hAnsi="Arial" w:cs="Arial"/>
        </w:rPr>
        <w:t>Beverley Road</w:t>
      </w:r>
    </w:p>
    <w:p w14:paraId="1F9002AC" w14:textId="77777777" w:rsidR="00530CF1" w:rsidRPr="00B81922" w:rsidRDefault="00000000">
      <w:pPr>
        <w:rPr>
          <w:rFonts w:ascii="Arial" w:hAnsi="Arial" w:cs="Arial"/>
        </w:rPr>
      </w:pPr>
      <w:r w:rsidRPr="00B81922">
        <w:rPr>
          <w:rFonts w:ascii="Arial" w:hAnsi="Arial" w:cs="Arial"/>
        </w:rPr>
        <w:t>Willerby</w:t>
      </w:r>
    </w:p>
    <w:p w14:paraId="72C331B6" w14:textId="77777777" w:rsidR="00530CF1" w:rsidRPr="00B81922" w:rsidRDefault="00000000">
      <w:pPr>
        <w:rPr>
          <w:rFonts w:ascii="Arial" w:hAnsi="Arial" w:cs="Arial"/>
        </w:rPr>
      </w:pPr>
      <w:r w:rsidRPr="00B81922">
        <w:rPr>
          <w:rFonts w:ascii="Arial" w:hAnsi="Arial" w:cs="Arial"/>
        </w:rPr>
        <w:t>East Riding of Yorkshire</w:t>
      </w:r>
    </w:p>
    <w:p w14:paraId="4556F9EB" w14:textId="77777777" w:rsidR="00530CF1" w:rsidRPr="00B81922" w:rsidRDefault="00000000">
      <w:pPr>
        <w:rPr>
          <w:rFonts w:ascii="Arial" w:hAnsi="Arial" w:cs="Arial"/>
        </w:rPr>
      </w:pPr>
      <w:r w:rsidRPr="00B81922">
        <w:rPr>
          <w:rFonts w:ascii="Arial" w:hAnsi="Arial" w:cs="Arial"/>
        </w:rPr>
        <w:t>HU10 6ED</w:t>
      </w:r>
    </w:p>
    <w:p w14:paraId="34BE8E4E" w14:textId="77777777" w:rsidR="00530CF1" w:rsidRPr="00B81922" w:rsidRDefault="00530CF1">
      <w:pPr>
        <w:rPr>
          <w:rFonts w:ascii="Arial" w:hAnsi="Arial" w:cs="Arial"/>
        </w:rPr>
      </w:pPr>
    </w:p>
    <w:p w14:paraId="0D660953" w14:textId="77777777" w:rsidR="00530CF1" w:rsidRPr="00B81922" w:rsidRDefault="00000000">
      <w:pPr>
        <w:rPr>
          <w:rFonts w:ascii="Arial" w:hAnsi="Arial" w:cs="Arial"/>
        </w:rPr>
      </w:pPr>
      <w:r w:rsidRPr="00B81922">
        <w:rPr>
          <w:rFonts w:ascii="Arial" w:hAnsi="Arial" w:cs="Arial"/>
        </w:rPr>
        <w:lastRenderedPageBreak/>
        <w:t>Tel: 01482 301700</w:t>
      </w:r>
    </w:p>
    <w:p w14:paraId="3342A3EE" w14:textId="03C135A8" w:rsidR="00530CF1" w:rsidRPr="00B81922" w:rsidRDefault="00000000">
      <w:pPr>
        <w:rPr>
          <w:rFonts w:ascii="Arial" w:hAnsi="Arial" w:cs="Arial"/>
        </w:rPr>
      </w:pPr>
      <w:r w:rsidRPr="00B81922">
        <w:rPr>
          <w:rFonts w:ascii="Arial" w:hAnsi="Arial" w:cs="Arial"/>
        </w:rPr>
        <w:t>www.humber.nhs.uk</w:t>
      </w:r>
    </w:p>
    <w:p w14:paraId="1E97A161" w14:textId="77777777" w:rsidR="00530CF1" w:rsidRPr="00B81922" w:rsidRDefault="00530CF1">
      <w:pPr>
        <w:rPr>
          <w:rFonts w:ascii="Arial" w:hAnsi="Arial" w:cs="Arial"/>
        </w:rPr>
      </w:pPr>
    </w:p>
    <w:p w14:paraId="3A16B764" w14:textId="77777777" w:rsidR="00530CF1" w:rsidRPr="00B81922" w:rsidRDefault="00530CF1">
      <w:pPr>
        <w:rPr>
          <w:rFonts w:ascii="Arial" w:hAnsi="Arial" w:cs="Arial"/>
        </w:rPr>
      </w:pPr>
    </w:p>
    <w:p w14:paraId="1486572A" w14:textId="77777777" w:rsidR="00530CF1" w:rsidRPr="00B81922" w:rsidRDefault="00530CF1">
      <w:pPr>
        <w:rPr>
          <w:rFonts w:ascii="Arial" w:hAnsi="Arial" w:cs="Arial"/>
        </w:rPr>
      </w:pPr>
    </w:p>
    <w:sectPr w:rsidR="00530CF1" w:rsidRPr="00B8192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5041301">
    <w:abstractNumId w:val="8"/>
  </w:num>
  <w:num w:numId="2" w16cid:durableId="2084181235">
    <w:abstractNumId w:val="6"/>
  </w:num>
  <w:num w:numId="3" w16cid:durableId="1618871141">
    <w:abstractNumId w:val="5"/>
  </w:num>
  <w:num w:numId="4" w16cid:durableId="1299145357">
    <w:abstractNumId w:val="4"/>
  </w:num>
  <w:num w:numId="5" w16cid:durableId="746849522">
    <w:abstractNumId w:val="7"/>
  </w:num>
  <w:num w:numId="6" w16cid:durableId="1031951117">
    <w:abstractNumId w:val="3"/>
  </w:num>
  <w:num w:numId="7" w16cid:durableId="1137188239">
    <w:abstractNumId w:val="2"/>
  </w:num>
  <w:num w:numId="8" w16cid:durableId="2114592084">
    <w:abstractNumId w:val="1"/>
  </w:num>
  <w:num w:numId="9" w16cid:durableId="203333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33C6"/>
    <w:rsid w:val="0015074B"/>
    <w:rsid w:val="00257247"/>
    <w:rsid w:val="0029639D"/>
    <w:rsid w:val="002E04D1"/>
    <w:rsid w:val="00326F90"/>
    <w:rsid w:val="00530CF1"/>
    <w:rsid w:val="005F312C"/>
    <w:rsid w:val="00644201"/>
    <w:rsid w:val="00827FCD"/>
    <w:rsid w:val="00AA1D8D"/>
    <w:rsid w:val="00B47730"/>
    <w:rsid w:val="00B81922"/>
    <w:rsid w:val="00CB0664"/>
    <w:rsid w:val="00F736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079AA"/>
  <w14:defaultImageDpi w14:val="300"/>
  <w15:docId w15:val="{8D622ECB-F4E7-434D-AE76-CA60E500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6558</Words>
  <Characters>37384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Collier</cp:lastModifiedBy>
  <cp:revision>6</cp:revision>
  <dcterms:created xsi:type="dcterms:W3CDTF">2026-01-20T11:04:00Z</dcterms:created>
  <dcterms:modified xsi:type="dcterms:W3CDTF">2026-02-09T16:53:00Z</dcterms:modified>
  <cp:category/>
</cp:coreProperties>
</file>