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57027" w14:textId="77777777" w:rsidR="00FD201D" w:rsidRDefault="00FD201D" w:rsidP="00FD201D">
      <w:pPr>
        <w:jc w:val="center"/>
        <w:rPr>
          <w:rFonts w:cstheme="minorHAnsi"/>
          <w:b/>
          <w:color w:val="0070C0"/>
          <w:sz w:val="36"/>
          <w:szCs w:val="36"/>
        </w:rPr>
      </w:pPr>
    </w:p>
    <w:p w14:paraId="3FB4B629" w14:textId="77777777" w:rsidR="00FD201D" w:rsidRDefault="00FD201D" w:rsidP="00FD201D">
      <w:pPr>
        <w:jc w:val="center"/>
        <w:rPr>
          <w:rFonts w:cstheme="minorHAnsi"/>
          <w:b/>
          <w:color w:val="0070C0"/>
          <w:sz w:val="36"/>
          <w:szCs w:val="36"/>
        </w:rPr>
      </w:pPr>
    </w:p>
    <w:p w14:paraId="7B467280" w14:textId="77777777" w:rsidR="00FD201D" w:rsidRDefault="00FD201D" w:rsidP="00FD201D">
      <w:pPr>
        <w:jc w:val="center"/>
        <w:rPr>
          <w:rFonts w:cstheme="minorHAnsi"/>
          <w:b/>
          <w:color w:val="0070C0"/>
          <w:sz w:val="36"/>
          <w:szCs w:val="36"/>
        </w:rPr>
      </w:pPr>
    </w:p>
    <w:p w14:paraId="65E7CF45" w14:textId="77777777" w:rsidR="00FD201D" w:rsidRDefault="00FD201D" w:rsidP="00FD201D">
      <w:pPr>
        <w:jc w:val="center"/>
        <w:rPr>
          <w:rFonts w:cstheme="minorHAnsi"/>
          <w:b/>
          <w:color w:val="0070C0"/>
          <w:sz w:val="36"/>
          <w:szCs w:val="36"/>
        </w:rPr>
      </w:pPr>
    </w:p>
    <w:p w14:paraId="7F03053F" w14:textId="77777777" w:rsidR="00FD201D" w:rsidRDefault="00FD201D" w:rsidP="00FD201D">
      <w:pPr>
        <w:jc w:val="center"/>
        <w:rPr>
          <w:rFonts w:cstheme="minorHAnsi"/>
          <w:b/>
          <w:color w:val="0070C0"/>
          <w:sz w:val="36"/>
          <w:szCs w:val="36"/>
        </w:rPr>
      </w:pPr>
    </w:p>
    <w:p w14:paraId="761B9D61" w14:textId="77777777" w:rsidR="00FD201D" w:rsidRDefault="00FD201D" w:rsidP="00FD201D">
      <w:pPr>
        <w:jc w:val="center"/>
        <w:rPr>
          <w:rFonts w:cstheme="minorHAnsi"/>
          <w:b/>
          <w:color w:val="0070C0"/>
          <w:sz w:val="36"/>
          <w:szCs w:val="36"/>
        </w:rPr>
      </w:pPr>
    </w:p>
    <w:p w14:paraId="230528AB" w14:textId="31ED4277" w:rsidR="00FD201D" w:rsidRPr="00EA6EFF" w:rsidRDefault="00FD201D" w:rsidP="00FD201D">
      <w:pPr>
        <w:jc w:val="center"/>
        <w:rPr>
          <w:rFonts w:cstheme="minorHAnsi"/>
          <w:b/>
          <w:color w:val="0070C0"/>
          <w:sz w:val="36"/>
          <w:szCs w:val="36"/>
        </w:rPr>
      </w:pPr>
      <w:r w:rsidRPr="00EA6EFF">
        <w:rPr>
          <w:rFonts w:cstheme="minorHAnsi"/>
          <w:b/>
          <w:color w:val="0070C0"/>
          <w:sz w:val="36"/>
          <w:szCs w:val="36"/>
        </w:rPr>
        <w:t>NHS Workforce Race Equality Standard (WRES)</w:t>
      </w:r>
    </w:p>
    <w:p w14:paraId="17F5EE68" w14:textId="1798FDF8" w:rsidR="00FD201D" w:rsidRPr="00EA6EFF" w:rsidRDefault="00FD201D" w:rsidP="00FD201D">
      <w:pPr>
        <w:jc w:val="center"/>
        <w:rPr>
          <w:rFonts w:cstheme="minorHAnsi"/>
          <w:bCs/>
          <w:color w:val="00A49A"/>
          <w:sz w:val="36"/>
          <w:szCs w:val="36"/>
        </w:rPr>
      </w:pPr>
      <w:r w:rsidRPr="00EA6EFF">
        <w:rPr>
          <w:rFonts w:cstheme="minorHAnsi"/>
          <w:b/>
          <w:color w:val="0070C0"/>
          <w:sz w:val="36"/>
          <w:szCs w:val="36"/>
        </w:rPr>
        <w:br/>
      </w:r>
      <w:r w:rsidRPr="00EA6EFF">
        <w:rPr>
          <w:rFonts w:cstheme="minorHAnsi"/>
          <w:bCs/>
          <w:color w:val="00A49A"/>
          <w:sz w:val="36"/>
          <w:szCs w:val="36"/>
        </w:rPr>
        <w:t>Annual Report 202</w:t>
      </w:r>
      <w:r>
        <w:rPr>
          <w:rFonts w:cstheme="minorHAnsi"/>
          <w:bCs/>
          <w:color w:val="00A49A"/>
          <w:sz w:val="36"/>
          <w:szCs w:val="36"/>
        </w:rPr>
        <w:t>5</w:t>
      </w:r>
    </w:p>
    <w:p w14:paraId="1C2EBF90" w14:textId="77777777" w:rsidR="00FD201D" w:rsidRPr="00EA6EFF" w:rsidRDefault="00FD201D" w:rsidP="00FD201D">
      <w:pPr>
        <w:rPr>
          <w:rFonts w:cstheme="minorHAnsi"/>
          <w:b/>
          <w:color w:val="0070C0"/>
          <w:sz w:val="36"/>
          <w:szCs w:val="36"/>
        </w:rPr>
      </w:pPr>
    </w:p>
    <w:p w14:paraId="0E2CAAD2" w14:textId="4877B07C" w:rsidR="00280735" w:rsidRDefault="00FD201D" w:rsidP="00FD201D">
      <w:pPr>
        <w:spacing w:after="160" w:line="259" w:lineRule="auto"/>
        <w:jc w:val="center"/>
        <w:rPr>
          <w:rFonts w:cstheme="minorHAnsi"/>
          <w:bCs/>
          <w:sz w:val="36"/>
          <w:szCs w:val="36"/>
        </w:rPr>
      </w:pPr>
      <w:r w:rsidRPr="00EA6EFF">
        <w:rPr>
          <w:rFonts w:cstheme="minorHAnsi"/>
          <w:bCs/>
          <w:sz w:val="36"/>
          <w:szCs w:val="36"/>
        </w:rPr>
        <w:t>Humber Teaching NHS Foundation Trust</w:t>
      </w:r>
    </w:p>
    <w:p w14:paraId="1CE84DDF" w14:textId="17001F48" w:rsidR="00FD201D" w:rsidRDefault="00FD201D">
      <w:pPr>
        <w:spacing w:after="160" w:line="259" w:lineRule="auto"/>
        <w:rPr>
          <w:rFonts w:cstheme="minorHAnsi"/>
          <w:bCs/>
          <w:sz w:val="36"/>
          <w:szCs w:val="36"/>
        </w:rPr>
      </w:pPr>
      <w:r>
        <w:rPr>
          <w:rFonts w:cstheme="minorHAnsi"/>
          <w:bCs/>
          <w:sz w:val="36"/>
          <w:szCs w:val="36"/>
        </w:rPr>
        <w:br w:type="page"/>
      </w:r>
    </w:p>
    <w:p w14:paraId="7ABCDAA1" w14:textId="77777777" w:rsidR="00FD201D" w:rsidRDefault="00FD201D" w:rsidP="00FD201D">
      <w:pPr>
        <w:spacing w:after="160" w:line="259" w:lineRule="auto"/>
        <w:rPr>
          <w:rFonts w:ascii="Arial" w:eastAsia="Times New Roman" w:hAnsi="Arial" w:cs="Arial"/>
          <w:b/>
          <w:bCs/>
          <w:color w:val="003087"/>
          <w:sz w:val="24"/>
          <w:szCs w:val="24"/>
          <w:lang w:eastAsia="en-GB"/>
        </w:rPr>
      </w:pPr>
    </w:p>
    <w:p w14:paraId="48E40F36" w14:textId="77777777" w:rsidR="00FD201D" w:rsidRDefault="00FD201D" w:rsidP="00FD201D">
      <w:pPr>
        <w:spacing w:after="160" w:line="259" w:lineRule="auto"/>
        <w:rPr>
          <w:rFonts w:ascii="Arial" w:eastAsia="Times New Roman" w:hAnsi="Arial" w:cs="Arial"/>
          <w:b/>
          <w:bCs/>
          <w:color w:val="003087"/>
          <w:sz w:val="24"/>
          <w:szCs w:val="24"/>
          <w:lang w:eastAsia="en-GB"/>
        </w:rPr>
      </w:pPr>
    </w:p>
    <w:p w14:paraId="5BB92A9C" w14:textId="77777777" w:rsidR="00FD201D" w:rsidRDefault="00FD201D" w:rsidP="00FD201D">
      <w:pPr>
        <w:spacing w:after="160" w:line="259" w:lineRule="auto"/>
        <w:rPr>
          <w:rFonts w:ascii="Arial" w:eastAsia="Times New Roman" w:hAnsi="Arial" w:cs="Arial"/>
          <w:b/>
          <w:bCs/>
          <w:color w:val="003087"/>
          <w:sz w:val="24"/>
          <w:szCs w:val="24"/>
          <w:lang w:eastAsia="en-GB"/>
        </w:rPr>
      </w:pPr>
    </w:p>
    <w:p w14:paraId="68DEA184" w14:textId="77777777" w:rsidR="00FD201D" w:rsidRDefault="00FD201D" w:rsidP="00FD201D">
      <w:pPr>
        <w:spacing w:after="160" w:line="259" w:lineRule="auto"/>
        <w:rPr>
          <w:rFonts w:ascii="Arial" w:eastAsia="Times New Roman" w:hAnsi="Arial" w:cs="Arial"/>
          <w:b/>
          <w:bCs/>
          <w:color w:val="003087"/>
          <w:sz w:val="24"/>
          <w:szCs w:val="24"/>
          <w:lang w:eastAsia="en-GB"/>
        </w:rPr>
      </w:pPr>
    </w:p>
    <w:p w14:paraId="223310CC" w14:textId="77777777" w:rsidR="00FD201D" w:rsidRDefault="00FD201D" w:rsidP="00FD201D">
      <w:pPr>
        <w:spacing w:after="160" w:line="259" w:lineRule="auto"/>
        <w:rPr>
          <w:rFonts w:ascii="Arial" w:eastAsia="Times New Roman" w:hAnsi="Arial" w:cs="Arial"/>
          <w:b/>
          <w:bCs/>
          <w:color w:val="003087"/>
          <w:sz w:val="24"/>
          <w:szCs w:val="24"/>
          <w:lang w:eastAsia="en-GB"/>
        </w:rPr>
      </w:pPr>
    </w:p>
    <w:p w14:paraId="65FD8AC3" w14:textId="77777777" w:rsidR="00FD201D" w:rsidRDefault="00FD201D" w:rsidP="00FD201D">
      <w:pPr>
        <w:spacing w:after="160" w:line="259" w:lineRule="auto"/>
        <w:rPr>
          <w:rFonts w:ascii="Arial" w:eastAsia="Times New Roman" w:hAnsi="Arial" w:cs="Arial"/>
          <w:b/>
          <w:bCs/>
          <w:color w:val="003087"/>
          <w:sz w:val="24"/>
          <w:szCs w:val="24"/>
          <w:lang w:eastAsia="en-GB"/>
        </w:rPr>
      </w:pPr>
    </w:p>
    <w:p w14:paraId="73702D76" w14:textId="77777777" w:rsidR="00FD201D" w:rsidRDefault="00FD201D" w:rsidP="00FD201D">
      <w:pPr>
        <w:spacing w:after="160" w:line="259" w:lineRule="auto"/>
        <w:rPr>
          <w:rFonts w:ascii="Arial" w:eastAsia="Times New Roman" w:hAnsi="Arial" w:cs="Arial"/>
          <w:b/>
          <w:bCs/>
          <w:color w:val="003087"/>
          <w:sz w:val="24"/>
          <w:szCs w:val="24"/>
          <w:lang w:eastAsia="en-GB"/>
        </w:rPr>
      </w:pPr>
    </w:p>
    <w:p w14:paraId="0BB79E10" w14:textId="77777777" w:rsidR="00FD201D" w:rsidRDefault="00FD201D" w:rsidP="00FD201D">
      <w:pPr>
        <w:spacing w:after="160" w:line="259" w:lineRule="auto"/>
        <w:rPr>
          <w:rFonts w:ascii="Arial" w:eastAsia="Times New Roman" w:hAnsi="Arial" w:cs="Arial"/>
          <w:b/>
          <w:bCs/>
          <w:color w:val="003087"/>
          <w:sz w:val="24"/>
          <w:szCs w:val="24"/>
          <w:lang w:eastAsia="en-GB"/>
        </w:rPr>
      </w:pPr>
    </w:p>
    <w:p w14:paraId="2BDF1788" w14:textId="77777777" w:rsidR="0068556D" w:rsidRDefault="0068556D">
      <w:pPr>
        <w:spacing w:after="160" w:line="259" w:lineRule="auto"/>
        <w:rPr>
          <w:rFonts w:ascii="Arial" w:eastAsia="Times New Roman" w:hAnsi="Arial" w:cs="Arial"/>
          <w:b/>
          <w:bCs/>
          <w:color w:val="003087"/>
          <w:sz w:val="24"/>
          <w:szCs w:val="24"/>
          <w:lang w:eastAsia="en-GB"/>
        </w:rPr>
      </w:pPr>
    </w:p>
    <w:tbl>
      <w:tblPr>
        <w:tblStyle w:val="TableGrid"/>
        <w:tblW w:w="0" w:type="auto"/>
        <w:tblLook w:val="04A0" w:firstRow="1" w:lastRow="0" w:firstColumn="1" w:lastColumn="0" w:noHBand="0" w:noVBand="1"/>
      </w:tblPr>
      <w:tblGrid>
        <w:gridCol w:w="7225"/>
        <w:gridCol w:w="1791"/>
      </w:tblGrid>
      <w:tr w:rsidR="0068556D" w:rsidRPr="00EA6EFF" w14:paraId="767BE2E2" w14:textId="77777777" w:rsidTr="00556E41">
        <w:tc>
          <w:tcPr>
            <w:tcW w:w="7225" w:type="dxa"/>
          </w:tcPr>
          <w:p w14:paraId="62A205AA" w14:textId="77777777" w:rsidR="0068556D" w:rsidRPr="001A0657" w:rsidRDefault="0068556D" w:rsidP="00556E41">
            <w:pPr>
              <w:rPr>
                <w:rFonts w:ascii="Arial" w:hAnsi="Arial" w:cs="Arial"/>
              </w:rPr>
            </w:pPr>
          </w:p>
        </w:tc>
        <w:tc>
          <w:tcPr>
            <w:tcW w:w="1791" w:type="dxa"/>
          </w:tcPr>
          <w:p w14:paraId="7CC0409E" w14:textId="77777777" w:rsidR="0068556D" w:rsidRPr="001A0657" w:rsidRDefault="0068556D" w:rsidP="00556E41">
            <w:pPr>
              <w:rPr>
                <w:rFonts w:ascii="Arial" w:hAnsi="Arial" w:cs="Arial"/>
              </w:rPr>
            </w:pPr>
            <w:r w:rsidRPr="001A0657">
              <w:rPr>
                <w:rFonts w:ascii="Arial" w:hAnsi="Arial" w:cs="Arial"/>
              </w:rPr>
              <w:t>Page Number</w:t>
            </w:r>
          </w:p>
        </w:tc>
      </w:tr>
      <w:tr w:rsidR="0068556D" w:rsidRPr="00EA6EFF" w14:paraId="2E89427C" w14:textId="77777777" w:rsidTr="00556E41">
        <w:tc>
          <w:tcPr>
            <w:tcW w:w="7225" w:type="dxa"/>
          </w:tcPr>
          <w:p w14:paraId="09BBF11D" w14:textId="196B2FC7" w:rsidR="0068556D" w:rsidRPr="001A0657" w:rsidRDefault="0068556D" w:rsidP="001A0657">
            <w:pPr>
              <w:pStyle w:val="ListParagraph"/>
              <w:numPr>
                <w:ilvl w:val="0"/>
                <w:numId w:val="8"/>
              </w:numPr>
              <w:rPr>
                <w:rFonts w:ascii="Arial" w:hAnsi="Arial" w:cs="Arial"/>
              </w:rPr>
            </w:pPr>
            <w:r w:rsidRPr="001A0657">
              <w:rPr>
                <w:rFonts w:ascii="Arial" w:hAnsi="Arial" w:cs="Arial"/>
              </w:rPr>
              <w:t>Executive Summary</w:t>
            </w:r>
            <w:r w:rsidR="00280735">
              <w:rPr>
                <w:rFonts w:ascii="Arial" w:hAnsi="Arial" w:cs="Arial"/>
              </w:rPr>
              <w:t xml:space="preserve"> – Areas for Assurance and Focus</w:t>
            </w:r>
          </w:p>
        </w:tc>
        <w:tc>
          <w:tcPr>
            <w:tcW w:w="1791" w:type="dxa"/>
          </w:tcPr>
          <w:p w14:paraId="0A1DA680" w14:textId="77777777" w:rsidR="0068556D" w:rsidRPr="001A0657" w:rsidRDefault="0068556D" w:rsidP="00556E41">
            <w:pPr>
              <w:jc w:val="center"/>
              <w:rPr>
                <w:rFonts w:ascii="Arial" w:hAnsi="Arial" w:cs="Arial"/>
              </w:rPr>
            </w:pPr>
            <w:r w:rsidRPr="001A0657">
              <w:rPr>
                <w:rFonts w:ascii="Arial" w:hAnsi="Arial" w:cs="Arial"/>
              </w:rPr>
              <w:t>3</w:t>
            </w:r>
          </w:p>
        </w:tc>
      </w:tr>
      <w:tr w:rsidR="0068556D" w:rsidRPr="00EA6EFF" w14:paraId="5E05DD91" w14:textId="77777777" w:rsidTr="00556E41">
        <w:tc>
          <w:tcPr>
            <w:tcW w:w="7225" w:type="dxa"/>
          </w:tcPr>
          <w:p w14:paraId="62C85B8C" w14:textId="40CFF64B" w:rsidR="0068556D" w:rsidRPr="001A0657" w:rsidRDefault="0068556D" w:rsidP="001A0657">
            <w:pPr>
              <w:pStyle w:val="ListParagraph"/>
              <w:numPr>
                <w:ilvl w:val="0"/>
                <w:numId w:val="8"/>
              </w:numPr>
              <w:rPr>
                <w:rFonts w:ascii="Arial" w:hAnsi="Arial" w:cs="Arial"/>
              </w:rPr>
            </w:pPr>
            <w:r w:rsidRPr="001A0657">
              <w:rPr>
                <w:rFonts w:ascii="Arial" w:hAnsi="Arial" w:cs="Arial"/>
              </w:rPr>
              <w:t>Introduction</w:t>
            </w:r>
          </w:p>
        </w:tc>
        <w:tc>
          <w:tcPr>
            <w:tcW w:w="1791" w:type="dxa"/>
          </w:tcPr>
          <w:p w14:paraId="3B6CF528" w14:textId="77777777" w:rsidR="0068556D" w:rsidRPr="001A0657" w:rsidRDefault="0068556D" w:rsidP="00556E41">
            <w:pPr>
              <w:jc w:val="center"/>
              <w:rPr>
                <w:rFonts w:ascii="Arial" w:hAnsi="Arial" w:cs="Arial"/>
              </w:rPr>
            </w:pPr>
            <w:r w:rsidRPr="001A0657">
              <w:rPr>
                <w:rFonts w:ascii="Arial" w:hAnsi="Arial" w:cs="Arial"/>
              </w:rPr>
              <w:t>4</w:t>
            </w:r>
          </w:p>
        </w:tc>
      </w:tr>
      <w:tr w:rsidR="0068556D" w:rsidRPr="00EA6EFF" w14:paraId="141B3DD0" w14:textId="77777777" w:rsidTr="00556E41">
        <w:tc>
          <w:tcPr>
            <w:tcW w:w="7225" w:type="dxa"/>
          </w:tcPr>
          <w:p w14:paraId="2211DBF2" w14:textId="078E55F7" w:rsidR="0068556D" w:rsidRPr="001A0657" w:rsidRDefault="001A0657" w:rsidP="001A0657">
            <w:pPr>
              <w:pStyle w:val="ListParagraph"/>
              <w:numPr>
                <w:ilvl w:val="0"/>
                <w:numId w:val="8"/>
              </w:numPr>
              <w:rPr>
                <w:rFonts w:ascii="Arial" w:hAnsi="Arial" w:cs="Arial"/>
              </w:rPr>
            </w:pPr>
            <w:r>
              <w:rPr>
                <w:rFonts w:ascii="Arial" w:eastAsia="Times New Roman" w:hAnsi="Arial" w:cs="Arial"/>
                <w:lang w:eastAsia="en-GB"/>
              </w:rPr>
              <w:t>Analysis of our</w:t>
            </w:r>
            <w:r w:rsidRPr="001A0657">
              <w:rPr>
                <w:rFonts w:ascii="Arial" w:eastAsia="Times New Roman" w:hAnsi="Arial" w:cs="Arial"/>
                <w:lang w:eastAsia="en-GB"/>
              </w:rPr>
              <w:t xml:space="preserve"> WRES Outcomes for 2024</w:t>
            </w:r>
            <w:r w:rsidR="000D1F2C">
              <w:rPr>
                <w:rFonts w:ascii="Arial" w:eastAsia="Times New Roman" w:hAnsi="Arial" w:cs="Arial"/>
                <w:lang w:eastAsia="en-GB"/>
              </w:rPr>
              <w:t>/25</w:t>
            </w:r>
          </w:p>
        </w:tc>
        <w:tc>
          <w:tcPr>
            <w:tcW w:w="1791" w:type="dxa"/>
          </w:tcPr>
          <w:p w14:paraId="222F8558" w14:textId="77777777" w:rsidR="0068556D" w:rsidRPr="001A0657" w:rsidRDefault="0068556D" w:rsidP="00556E41">
            <w:pPr>
              <w:jc w:val="center"/>
              <w:rPr>
                <w:rFonts w:ascii="Arial" w:hAnsi="Arial" w:cs="Arial"/>
              </w:rPr>
            </w:pPr>
            <w:r w:rsidRPr="001A0657">
              <w:rPr>
                <w:rFonts w:ascii="Arial" w:hAnsi="Arial" w:cs="Arial"/>
              </w:rPr>
              <w:t>5</w:t>
            </w:r>
          </w:p>
        </w:tc>
      </w:tr>
      <w:tr w:rsidR="0068556D" w:rsidRPr="00EA6EFF" w14:paraId="29E77B53" w14:textId="77777777" w:rsidTr="00556E41">
        <w:tc>
          <w:tcPr>
            <w:tcW w:w="7225" w:type="dxa"/>
          </w:tcPr>
          <w:p w14:paraId="741F1AEB" w14:textId="55700C13" w:rsidR="0068556D" w:rsidRPr="001A0657" w:rsidRDefault="001A0657" w:rsidP="001A0657">
            <w:pPr>
              <w:pStyle w:val="ListParagraph"/>
              <w:numPr>
                <w:ilvl w:val="0"/>
                <w:numId w:val="8"/>
              </w:numPr>
              <w:autoSpaceDE w:val="0"/>
              <w:autoSpaceDN w:val="0"/>
              <w:adjustRightInd w:val="0"/>
              <w:spacing w:before="100" w:beforeAutospacing="1" w:after="100" w:afterAutospacing="1" w:line="360" w:lineRule="auto"/>
              <w:rPr>
                <w:rFonts w:ascii="Arial" w:hAnsi="Arial" w:cs="Arial"/>
              </w:rPr>
            </w:pPr>
            <w:r w:rsidRPr="001A0657">
              <w:rPr>
                <w:rFonts w:ascii="Arial" w:hAnsi="Arial" w:cs="Arial"/>
              </w:rPr>
              <w:t>Our Race Equity Work Over the Past 12 Months</w:t>
            </w:r>
          </w:p>
        </w:tc>
        <w:tc>
          <w:tcPr>
            <w:tcW w:w="1791" w:type="dxa"/>
          </w:tcPr>
          <w:p w14:paraId="685898B6" w14:textId="30BBE6D7" w:rsidR="0068556D" w:rsidRPr="001A0657" w:rsidRDefault="00280735" w:rsidP="00556E41">
            <w:pPr>
              <w:jc w:val="center"/>
              <w:rPr>
                <w:rFonts w:ascii="Arial" w:hAnsi="Arial" w:cs="Arial"/>
              </w:rPr>
            </w:pPr>
            <w:r>
              <w:rPr>
                <w:rFonts w:ascii="Arial" w:hAnsi="Arial" w:cs="Arial"/>
              </w:rPr>
              <w:t>6</w:t>
            </w:r>
          </w:p>
        </w:tc>
      </w:tr>
      <w:tr w:rsidR="0068556D" w:rsidRPr="00EA6EFF" w14:paraId="740C3B17" w14:textId="77777777" w:rsidTr="00556E41">
        <w:tc>
          <w:tcPr>
            <w:tcW w:w="7225" w:type="dxa"/>
          </w:tcPr>
          <w:p w14:paraId="3072E6A3" w14:textId="1F8A1A30" w:rsidR="0068556D" w:rsidRPr="001A0657" w:rsidRDefault="001A0657" w:rsidP="001A0657">
            <w:pPr>
              <w:pStyle w:val="ListParagraph"/>
              <w:numPr>
                <w:ilvl w:val="0"/>
                <w:numId w:val="8"/>
              </w:numPr>
              <w:rPr>
                <w:rFonts w:ascii="Arial" w:hAnsi="Arial" w:cs="Arial"/>
              </w:rPr>
            </w:pPr>
            <w:r w:rsidRPr="001A0657">
              <w:rPr>
                <w:rFonts w:ascii="Arial" w:hAnsi="Arial" w:cs="Arial"/>
              </w:rPr>
              <w:t>2025 WRES Action Plan to Address Areas of Focus</w:t>
            </w:r>
          </w:p>
        </w:tc>
        <w:tc>
          <w:tcPr>
            <w:tcW w:w="1791" w:type="dxa"/>
          </w:tcPr>
          <w:p w14:paraId="4306B9A1" w14:textId="77777777" w:rsidR="0068556D" w:rsidRPr="001A0657" w:rsidRDefault="0068556D" w:rsidP="00556E41">
            <w:pPr>
              <w:jc w:val="center"/>
              <w:rPr>
                <w:rFonts w:ascii="Arial" w:hAnsi="Arial" w:cs="Arial"/>
              </w:rPr>
            </w:pPr>
            <w:r w:rsidRPr="001A0657">
              <w:rPr>
                <w:rFonts w:ascii="Arial" w:hAnsi="Arial" w:cs="Arial"/>
              </w:rPr>
              <w:t>9</w:t>
            </w:r>
          </w:p>
        </w:tc>
      </w:tr>
      <w:tr w:rsidR="0068556D" w:rsidRPr="00EA6EFF" w14:paraId="70769711" w14:textId="77777777" w:rsidTr="00556E41">
        <w:tc>
          <w:tcPr>
            <w:tcW w:w="7225" w:type="dxa"/>
          </w:tcPr>
          <w:p w14:paraId="38BC3D1A" w14:textId="159042CC" w:rsidR="0068556D" w:rsidRPr="001A0657" w:rsidRDefault="0068556D" w:rsidP="001A0657">
            <w:pPr>
              <w:pStyle w:val="ListParagraph"/>
              <w:numPr>
                <w:ilvl w:val="0"/>
                <w:numId w:val="8"/>
              </w:numPr>
              <w:rPr>
                <w:rFonts w:ascii="Arial" w:eastAsia="Calibri" w:hAnsi="Arial" w:cs="Arial"/>
              </w:rPr>
            </w:pPr>
            <w:r w:rsidRPr="001A0657">
              <w:rPr>
                <w:rFonts w:ascii="Arial" w:eastAsia="Calibri" w:hAnsi="Arial" w:cs="Arial"/>
              </w:rPr>
              <w:t>Appendix 1: Data Sources</w:t>
            </w:r>
          </w:p>
        </w:tc>
        <w:tc>
          <w:tcPr>
            <w:tcW w:w="1791" w:type="dxa"/>
          </w:tcPr>
          <w:p w14:paraId="2880CE49" w14:textId="402FA6D0" w:rsidR="0068556D" w:rsidRPr="001A0657" w:rsidRDefault="0068556D" w:rsidP="00556E41">
            <w:pPr>
              <w:jc w:val="center"/>
              <w:rPr>
                <w:rFonts w:ascii="Arial" w:hAnsi="Arial" w:cs="Arial"/>
              </w:rPr>
            </w:pPr>
            <w:r w:rsidRPr="001A0657">
              <w:rPr>
                <w:rFonts w:ascii="Arial" w:hAnsi="Arial" w:cs="Arial"/>
              </w:rPr>
              <w:t>1</w:t>
            </w:r>
            <w:r w:rsidR="00280735">
              <w:rPr>
                <w:rFonts w:ascii="Arial" w:hAnsi="Arial" w:cs="Arial"/>
              </w:rPr>
              <w:t>0</w:t>
            </w:r>
          </w:p>
        </w:tc>
      </w:tr>
    </w:tbl>
    <w:p w14:paraId="670E3FD4" w14:textId="28B3A0CD" w:rsidR="0068556D" w:rsidRDefault="0068556D">
      <w:pPr>
        <w:spacing w:after="160" w:line="259" w:lineRule="auto"/>
        <w:rPr>
          <w:rFonts w:ascii="Arial" w:eastAsia="Times New Roman" w:hAnsi="Arial" w:cs="Arial"/>
          <w:b/>
          <w:bCs/>
          <w:color w:val="003087"/>
          <w:sz w:val="24"/>
          <w:szCs w:val="24"/>
          <w:lang w:eastAsia="en-GB"/>
        </w:rPr>
      </w:pPr>
    </w:p>
    <w:p w14:paraId="606B067D" w14:textId="77777777" w:rsidR="0068556D" w:rsidRDefault="0068556D">
      <w:pPr>
        <w:spacing w:after="160" w:line="259" w:lineRule="auto"/>
        <w:rPr>
          <w:rFonts w:ascii="Arial" w:eastAsia="Times New Roman" w:hAnsi="Arial" w:cs="Arial"/>
          <w:b/>
          <w:bCs/>
          <w:color w:val="003087"/>
          <w:sz w:val="24"/>
          <w:szCs w:val="24"/>
          <w:lang w:eastAsia="en-GB"/>
        </w:rPr>
      </w:pPr>
      <w:r>
        <w:rPr>
          <w:rFonts w:ascii="Arial" w:eastAsia="Times New Roman" w:hAnsi="Arial" w:cs="Arial"/>
          <w:b/>
          <w:bCs/>
          <w:color w:val="003087"/>
          <w:sz w:val="24"/>
          <w:szCs w:val="24"/>
          <w:lang w:eastAsia="en-GB"/>
        </w:rPr>
        <w:br w:type="page"/>
      </w:r>
    </w:p>
    <w:p w14:paraId="221A34B0" w14:textId="2A24CA20" w:rsidR="00E132A7" w:rsidRPr="00C57C8D" w:rsidRDefault="00E132A7" w:rsidP="002412B6">
      <w:pPr>
        <w:pBdr>
          <w:bottom w:val="single" w:sz="4" w:space="1" w:color="auto"/>
        </w:pBdr>
        <w:spacing w:before="100" w:beforeAutospacing="1" w:after="100" w:afterAutospacing="1" w:line="360" w:lineRule="auto"/>
        <w:textAlignment w:val="baseline"/>
        <w:outlineLvl w:val="1"/>
        <w:rPr>
          <w:rFonts w:ascii="Arial" w:eastAsia="Times New Roman" w:hAnsi="Arial" w:cs="Arial"/>
          <w:b/>
          <w:bCs/>
          <w:color w:val="003087"/>
          <w:sz w:val="24"/>
          <w:szCs w:val="24"/>
          <w:lang w:eastAsia="en-GB"/>
        </w:rPr>
      </w:pPr>
      <w:r w:rsidRPr="00C57C8D">
        <w:rPr>
          <w:rFonts w:ascii="Arial" w:eastAsia="Times New Roman" w:hAnsi="Arial" w:cs="Arial"/>
          <w:b/>
          <w:bCs/>
          <w:color w:val="003087"/>
          <w:sz w:val="24"/>
          <w:szCs w:val="24"/>
          <w:lang w:eastAsia="en-GB"/>
        </w:rPr>
        <w:lastRenderedPageBreak/>
        <w:t>1. Executive Summary</w:t>
      </w:r>
    </w:p>
    <w:p w14:paraId="1508A0C9" w14:textId="3405C396" w:rsidR="0068059A" w:rsidRPr="00C57C8D" w:rsidRDefault="00D76471" w:rsidP="002412B6">
      <w:pPr>
        <w:spacing w:before="100" w:beforeAutospacing="1" w:after="100" w:afterAutospacing="1" w:line="360" w:lineRule="auto"/>
        <w:textAlignment w:val="baseline"/>
        <w:outlineLvl w:val="1"/>
        <w:rPr>
          <w:rFonts w:ascii="Arial" w:eastAsia="Times New Roman" w:hAnsi="Arial" w:cs="Arial"/>
          <w:lang w:eastAsia="en-GB"/>
        </w:rPr>
      </w:pPr>
      <w:r w:rsidRPr="00C57C8D">
        <w:rPr>
          <w:rFonts w:ascii="Arial" w:eastAsia="Times New Roman" w:hAnsi="Arial" w:cs="Arial"/>
          <w:lang w:eastAsia="en-GB"/>
        </w:rPr>
        <w:t>The Trust has improved in all nine W</w:t>
      </w:r>
      <w:r w:rsidR="00E55D87">
        <w:rPr>
          <w:rFonts w:ascii="Arial" w:eastAsia="Times New Roman" w:hAnsi="Arial" w:cs="Arial"/>
          <w:lang w:eastAsia="en-GB"/>
        </w:rPr>
        <w:t xml:space="preserve">orkforce </w:t>
      </w:r>
      <w:r w:rsidRPr="00C57C8D">
        <w:rPr>
          <w:rFonts w:ascii="Arial" w:eastAsia="Times New Roman" w:hAnsi="Arial" w:cs="Arial"/>
          <w:lang w:eastAsia="en-GB"/>
        </w:rPr>
        <w:t>R</w:t>
      </w:r>
      <w:r w:rsidR="00E55D87">
        <w:rPr>
          <w:rFonts w:ascii="Arial" w:eastAsia="Times New Roman" w:hAnsi="Arial" w:cs="Arial"/>
          <w:lang w:eastAsia="en-GB"/>
        </w:rPr>
        <w:t xml:space="preserve">ace </w:t>
      </w:r>
      <w:r w:rsidRPr="00C57C8D">
        <w:rPr>
          <w:rFonts w:ascii="Arial" w:eastAsia="Times New Roman" w:hAnsi="Arial" w:cs="Arial"/>
          <w:lang w:eastAsia="en-GB"/>
        </w:rPr>
        <w:t>E</w:t>
      </w:r>
      <w:r w:rsidR="00E55D87">
        <w:rPr>
          <w:rFonts w:ascii="Arial" w:eastAsia="Times New Roman" w:hAnsi="Arial" w:cs="Arial"/>
          <w:lang w:eastAsia="en-GB"/>
        </w:rPr>
        <w:t xml:space="preserve">quality </w:t>
      </w:r>
      <w:r w:rsidRPr="00C57C8D">
        <w:rPr>
          <w:rFonts w:ascii="Arial" w:eastAsia="Times New Roman" w:hAnsi="Arial" w:cs="Arial"/>
          <w:lang w:eastAsia="en-GB"/>
        </w:rPr>
        <w:t>S</w:t>
      </w:r>
      <w:r w:rsidR="00E55D87">
        <w:rPr>
          <w:rFonts w:ascii="Arial" w:eastAsia="Times New Roman" w:hAnsi="Arial" w:cs="Arial"/>
          <w:lang w:eastAsia="en-GB"/>
        </w:rPr>
        <w:t>tandard (WRES)</w:t>
      </w:r>
      <w:r w:rsidRPr="00C57C8D">
        <w:rPr>
          <w:rFonts w:ascii="Arial" w:eastAsia="Times New Roman" w:hAnsi="Arial" w:cs="Arial"/>
          <w:lang w:eastAsia="en-GB"/>
        </w:rPr>
        <w:t xml:space="preserve"> indicators compared to the previous year's figures. Seven of these indicators have surpassed national comparison figures, highlighting two </w:t>
      </w:r>
      <w:r w:rsidR="00C57C8D" w:rsidRPr="00C57C8D">
        <w:rPr>
          <w:rFonts w:ascii="Arial" w:eastAsia="Times New Roman" w:hAnsi="Arial" w:cs="Arial"/>
          <w:lang w:eastAsia="en-GB"/>
        </w:rPr>
        <w:t>focus areas</w:t>
      </w:r>
      <w:r w:rsidRPr="00C57C8D">
        <w:rPr>
          <w:rFonts w:ascii="Arial" w:eastAsia="Times New Roman" w:hAnsi="Arial" w:cs="Arial"/>
          <w:lang w:eastAsia="en-GB"/>
        </w:rPr>
        <w:t xml:space="preserve"> moving forward.</w:t>
      </w:r>
    </w:p>
    <w:p w14:paraId="55C82FBB" w14:textId="104ED8E1" w:rsidR="00703B53" w:rsidRPr="00C57C8D" w:rsidRDefault="00703B53" w:rsidP="002412B6">
      <w:pPr>
        <w:spacing w:before="100" w:beforeAutospacing="1" w:after="100" w:afterAutospacing="1" w:line="360" w:lineRule="auto"/>
        <w:textAlignment w:val="baseline"/>
        <w:outlineLvl w:val="1"/>
        <w:rPr>
          <w:rFonts w:ascii="Arial" w:eastAsia="Times New Roman" w:hAnsi="Arial" w:cs="Arial"/>
          <w:b/>
          <w:bCs/>
          <w:lang w:eastAsia="en-GB"/>
        </w:rPr>
      </w:pPr>
      <w:r w:rsidRPr="00C57C8D">
        <w:rPr>
          <w:rFonts w:ascii="Arial" w:eastAsia="Times New Roman" w:hAnsi="Arial" w:cs="Arial"/>
          <w:b/>
          <w:bCs/>
          <w:lang w:eastAsia="en-GB"/>
        </w:rPr>
        <w:t>Areas for Assurance</w:t>
      </w:r>
    </w:p>
    <w:p w14:paraId="7748058C" w14:textId="43F86D1D" w:rsidR="006A6199" w:rsidRPr="00C57C8D" w:rsidRDefault="00891A67" w:rsidP="002412B6">
      <w:pPr>
        <w:pStyle w:val="ListParagraph"/>
        <w:numPr>
          <w:ilvl w:val="0"/>
          <w:numId w:val="3"/>
        </w:numPr>
        <w:spacing w:before="100" w:beforeAutospacing="1" w:after="100" w:afterAutospacing="1" w:line="360" w:lineRule="auto"/>
        <w:textAlignment w:val="baseline"/>
        <w:outlineLvl w:val="1"/>
        <w:rPr>
          <w:rFonts w:ascii="Arial" w:eastAsia="Times New Roman" w:hAnsi="Arial" w:cs="Arial"/>
          <w:lang w:eastAsia="en-GB"/>
        </w:rPr>
      </w:pPr>
      <w:r w:rsidRPr="00C57C8D">
        <w:rPr>
          <w:rFonts w:ascii="Arial" w:eastAsia="Times New Roman" w:hAnsi="Arial" w:cs="Arial"/>
          <w:lang w:eastAsia="en-GB"/>
        </w:rPr>
        <w:t xml:space="preserve">For WRES Indicator </w:t>
      </w:r>
      <w:r w:rsidR="002B1DFC" w:rsidRPr="00C57C8D">
        <w:rPr>
          <w:rFonts w:ascii="Arial" w:eastAsia="Times New Roman" w:hAnsi="Arial" w:cs="Arial"/>
          <w:lang w:eastAsia="en-GB"/>
        </w:rPr>
        <w:t xml:space="preserve">1, which analyses the </w:t>
      </w:r>
      <w:r w:rsidR="00F6035E" w:rsidRPr="00C57C8D">
        <w:rPr>
          <w:rFonts w:ascii="Arial" w:eastAsia="Times New Roman" w:hAnsi="Arial" w:cs="Arial"/>
          <w:lang w:eastAsia="en-GB"/>
        </w:rPr>
        <w:t>representation</w:t>
      </w:r>
      <w:r w:rsidR="002B1DFC" w:rsidRPr="00C57C8D">
        <w:rPr>
          <w:rFonts w:ascii="Arial" w:eastAsia="Times New Roman" w:hAnsi="Arial" w:cs="Arial"/>
          <w:lang w:eastAsia="en-GB"/>
        </w:rPr>
        <w:t xml:space="preserve"> of ethnically diverse staff across the pay bands</w:t>
      </w:r>
      <w:r w:rsidR="008D3A8F" w:rsidRPr="00C57C8D">
        <w:rPr>
          <w:rFonts w:ascii="Arial" w:eastAsia="Times New Roman" w:hAnsi="Arial" w:cs="Arial"/>
          <w:lang w:eastAsia="en-GB"/>
        </w:rPr>
        <w:t xml:space="preserve">, we have seen a 14.47% improvement </w:t>
      </w:r>
      <w:r w:rsidR="00F6035E" w:rsidRPr="00C57C8D">
        <w:rPr>
          <w:rFonts w:ascii="Arial" w:eastAsia="Times New Roman" w:hAnsi="Arial" w:cs="Arial"/>
          <w:lang w:eastAsia="en-GB"/>
        </w:rPr>
        <w:t>in</w:t>
      </w:r>
      <w:r w:rsidR="008D3A8F" w:rsidRPr="00C57C8D">
        <w:rPr>
          <w:rFonts w:ascii="Arial" w:eastAsia="Times New Roman" w:hAnsi="Arial" w:cs="Arial"/>
          <w:lang w:eastAsia="en-GB"/>
        </w:rPr>
        <w:t xml:space="preserve"> </w:t>
      </w:r>
      <w:r w:rsidR="00F6035E" w:rsidRPr="00C57C8D">
        <w:rPr>
          <w:rFonts w:ascii="Arial" w:eastAsia="Times New Roman" w:hAnsi="Arial" w:cs="Arial"/>
          <w:lang w:eastAsia="en-GB"/>
        </w:rPr>
        <w:t>ethnically</w:t>
      </w:r>
      <w:r w:rsidR="008D3A8F" w:rsidRPr="00C57C8D">
        <w:rPr>
          <w:rFonts w:ascii="Arial" w:eastAsia="Times New Roman" w:hAnsi="Arial" w:cs="Arial"/>
          <w:lang w:eastAsia="en-GB"/>
        </w:rPr>
        <w:t xml:space="preserve"> diverse staff </w:t>
      </w:r>
      <w:r w:rsidR="00F6035E" w:rsidRPr="00C57C8D">
        <w:rPr>
          <w:rFonts w:ascii="Arial" w:eastAsia="Times New Roman" w:hAnsi="Arial" w:cs="Arial"/>
          <w:lang w:eastAsia="en-GB"/>
        </w:rPr>
        <w:t xml:space="preserve">working </w:t>
      </w:r>
      <w:r w:rsidR="008D3A8F" w:rsidRPr="00C57C8D">
        <w:rPr>
          <w:rFonts w:ascii="Arial" w:eastAsia="Times New Roman" w:hAnsi="Arial" w:cs="Arial"/>
          <w:lang w:eastAsia="en-GB"/>
        </w:rPr>
        <w:t xml:space="preserve">in clinical and </w:t>
      </w:r>
      <w:r w:rsidR="00F6035E" w:rsidRPr="00C57C8D">
        <w:rPr>
          <w:rFonts w:ascii="Arial" w:eastAsia="Times New Roman" w:hAnsi="Arial" w:cs="Arial"/>
          <w:lang w:eastAsia="en-GB"/>
        </w:rPr>
        <w:t>non-clinical</w:t>
      </w:r>
      <w:r w:rsidR="008D3A8F" w:rsidRPr="00C57C8D">
        <w:rPr>
          <w:rFonts w:ascii="Arial" w:eastAsia="Times New Roman" w:hAnsi="Arial" w:cs="Arial"/>
          <w:lang w:eastAsia="en-GB"/>
        </w:rPr>
        <w:t xml:space="preserve"> roles of band </w:t>
      </w:r>
      <w:r w:rsidR="00F6035E" w:rsidRPr="00C57C8D">
        <w:rPr>
          <w:rFonts w:ascii="Arial" w:eastAsia="Times New Roman" w:hAnsi="Arial" w:cs="Arial"/>
          <w:lang w:eastAsia="en-GB"/>
        </w:rPr>
        <w:t>seven</w:t>
      </w:r>
      <w:r w:rsidR="008D3A8F" w:rsidRPr="00C57C8D">
        <w:rPr>
          <w:rFonts w:ascii="Arial" w:eastAsia="Times New Roman" w:hAnsi="Arial" w:cs="Arial"/>
          <w:lang w:eastAsia="en-GB"/>
        </w:rPr>
        <w:t xml:space="preserve"> and above</w:t>
      </w:r>
      <w:r w:rsidR="00F6035E" w:rsidRPr="00C57C8D">
        <w:rPr>
          <w:rFonts w:ascii="Arial" w:eastAsia="Times New Roman" w:hAnsi="Arial" w:cs="Arial"/>
          <w:lang w:eastAsia="en-GB"/>
        </w:rPr>
        <w:t>.</w:t>
      </w:r>
      <w:r w:rsidR="007047CB" w:rsidRPr="00C57C8D">
        <w:rPr>
          <w:rFonts w:ascii="Arial" w:eastAsia="Times New Roman" w:hAnsi="Arial" w:cs="Arial"/>
          <w:lang w:eastAsia="en-GB"/>
        </w:rPr>
        <w:t xml:space="preserve"> </w:t>
      </w:r>
      <w:r w:rsidR="006A6199" w:rsidRPr="00C57C8D">
        <w:rPr>
          <w:rFonts w:ascii="Arial" w:eastAsia="Times New Roman" w:hAnsi="Arial" w:cs="Arial"/>
          <w:lang w:eastAsia="en-GB"/>
        </w:rPr>
        <w:t>Similarly</w:t>
      </w:r>
      <w:r w:rsidR="007047CB" w:rsidRPr="00C57C8D">
        <w:rPr>
          <w:rFonts w:ascii="Arial" w:eastAsia="Times New Roman" w:hAnsi="Arial" w:cs="Arial"/>
          <w:lang w:eastAsia="en-GB"/>
        </w:rPr>
        <w:t xml:space="preserve">, we have seen an improvement </w:t>
      </w:r>
      <w:r w:rsidR="006A6199" w:rsidRPr="00C57C8D">
        <w:rPr>
          <w:rFonts w:ascii="Arial" w:eastAsia="Times New Roman" w:hAnsi="Arial" w:cs="Arial"/>
          <w:lang w:eastAsia="en-GB"/>
        </w:rPr>
        <w:t>in</w:t>
      </w:r>
      <w:r w:rsidR="007047CB" w:rsidRPr="00C57C8D">
        <w:rPr>
          <w:rFonts w:ascii="Arial" w:eastAsia="Times New Roman" w:hAnsi="Arial" w:cs="Arial"/>
          <w:lang w:eastAsia="en-GB"/>
        </w:rPr>
        <w:t xml:space="preserve"> ethnically diverse representation across the workforce, with </w:t>
      </w:r>
      <w:r w:rsidR="006A6199" w:rsidRPr="00C57C8D">
        <w:rPr>
          <w:rFonts w:ascii="Arial" w:eastAsia="Times New Roman" w:hAnsi="Arial" w:cs="Arial"/>
          <w:lang w:eastAsia="en-GB"/>
        </w:rPr>
        <w:t xml:space="preserve">year-on-year improvements </w:t>
      </w:r>
      <w:r w:rsidR="00030EDA" w:rsidRPr="00C57C8D">
        <w:rPr>
          <w:rFonts w:ascii="Arial" w:eastAsia="Times New Roman" w:hAnsi="Arial" w:cs="Arial"/>
          <w:lang w:eastAsia="en-GB"/>
        </w:rPr>
        <w:t>since 2019, when the figure was</w:t>
      </w:r>
      <w:r w:rsidR="006A6199" w:rsidRPr="00C57C8D">
        <w:rPr>
          <w:rFonts w:ascii="Arial" w:eastAsia="Times New Roman" w:hAnsi="Arial" w:cs="Arial"/>
          <w:lang w:eastAsia="en-GB"/>
        </w:rPr>
        <w:t xml:space="preserve"> </w:t>
      </w:r>
      <w:r w:rsidR="006A6199" w:rsidRPr="00C57C8D">
        <w:rPr>
          <w:rFonts w:ascii="Arial" w:hAnsi="Arial" w:cs="Arial"/>
        </w:rPr>
        <w:t>3.5%, rising to 8.</w:t>
      </w:r>
      <w:r w:rsidR="00432C3F" w:rsidRPr="00C57C8D">
        <w:rPr>
          <w:rFonts w:ascii="Arial" w:hAnsi="Arial" w:cs="Arial"/>
        </w:rPr>
        <w:t>99</w:t>
      </w:r>
      <w:r w:rsidR="006A6199" w:rsidRPr="00C57C8D">
        <w:rPr>
          <w:rFonts w:ascii="Arial" w:hAnsi="Arial" w:cs="Arial"/>
        </w:rPr>
        <w:t xml:space="preserve">% in </w:t>
      </w:r>
      <w:r w:rsidR="00432C3F" w:rsidRPr="00C57C8D">
        <w:rPr>
          <w:rFonts w:ascii="Arial" w:hAnsi="Arial" w:cs="Arial"/>
        </w:rPr>
        <w:t xml:space="preserve">March </w:t>
      </w:r>
      <w:r w:rsidR="006A6199" w:rsidRPr="00C57C8D">
        <w:rPr>
          <w:rFonts w:ascii="Arial" w:hAnsi="Arial" w:cs="Arial"/>
        </w:rPr>
        <w:t>2025.</w:t>
      </w:r>
    </w:p>
    <w:p w14:paraId="3BE67A1D" w14:textId="77777777" w:rsidR="00851621" w:rsidRPr="00C57C8D" w:rsidRDefault="00851621" w:rsidP="002412B6">
      <w:pPr>
        <w:pStyle w:val="ListParagraph"/>
        <w:spacing w:before="100" w:beforeAutospacing="1" w:after="100" w:afterAutospacing="1" w:line="360" w:lineRule="auto"/>
        <w:textAlignment w:val="baseline"/>
        <w:outlineLvl w:val="1"/>
        <w:rPr>
          <w:rFonts w:ascii="Arial" w:eastAsia="Times New Roman" w:hAnsi="Arial" w:cs="Arial"/>
          <w:lang w:eastAsia="en-GB"/>
        </w:rPr>
      </w:pPr>
    </w:p>
    <w:p w14:paraId="3120E3D2" w14:textId="0831FFAC" w:rsidR="00851621" w:rsidRPr="00C57C8D" w:rsidRDefault="00851621" w:rsidP="002412B6">
      <w:pPr>
        <w:pStyle w:val="ListParagraph"/>
        <w:numPr>
          <w:ilvl w:val="0"/>
          <w:numId w:val="3"/>
        </w:numPr>
        <w:spacing w:before="100" w:beforeAutospacing="1" w:after="100" w:afterAutospacing="1" w:line="360" w:lineRule="auto"/>
        <w:textAlignment w:val="baseline"/>
        <w:outlineLvl w:val="1"/>
        <w:rPr>
          <w:rFonts w:ascii="Arial" w:eastAsia="Times New Roman" w:hAnsi="Arial" w:cs="Arial"/>
          <w:lang w:eastAsia="en-GB"/>
        </w:rPr>
      </w:pPr>
      <w:r w:rsidRPr="00C57C8D">
        <w:rPr>
          <w:rFonts w:ascii="Arial" w:eastAsia="Times New Roman" w:hAnsi="Arial" w:cs="Arial"/>
          <w:lang w:eastAsia="en-GB"/>
        </w:rPr>
        <w:t xml:space="preserve">For WRES Indicator 2: The </w:t>
      </w:r>
      <w:r w:rsidRPr="00C57C8D">
        <w:rPr>
          <w:rFonts w:ascii="Arial" w:hAnsi="Arial" w:cs="Arial"/>
        </w:rPr>
        <w:t xml:space="preserve">relative likelihood of staff being appointed from shortlisting, the Trust has a ratio of 0.78, indicating that ethnically diverse staff are likelier to be appointed following shortlisting. We can be assured that ethnically diverse staff are not disadvantaged in our recruitment processes. </w:t>
      </w:r>
    </w:p>
    <w:p w14:paraId="53D4494C" w14:textId="77777777" w:rsidR="00427390" w:rsidRPr="00C57C8D" w:rsidRDefault="00427390" w:rsidP="002412B6">
      <w:pPr>
        <w:pStyle w:val="ListParagraph"/>
        <w:spacing w:before="100" w:beforeAutospacing="1" w:after="100" w:afterAutospacing="1" w:line="360" w:lineRule="auto"/>
        <w:rPr>
          <w:rFonts w:ascii="Arial" w:eastAsia="Times New Roman" w:hAnsi="Arial" w:cs="Arial"/>
          <w:lang w:eastAsia="en-GB"/>
        </w:rPr>
      </w:pPr>
    </w:p>
    <w:p w14:paraId="62AAF70B" w14:textId="66A18F2D" w:rsidR="00427390" w:rsidRPr="00C57C8D" w:rsidRDefault="00427390" w:rsidP="002412B6">
      <w:pPr>
        <w:pStyle w:val="ListParagraph"/>
        <w:numPr>
          <w:ilvl w:val="0"/>
          <w:numId w:val="3"/>
        </w:numPr>
        <w:autoSpaceDE w:val="0"/>
        <w:autoSpaceDN w:val="0"/>
        <w:adjustRightInd w:val="0"/>
        <w:spacing w:before="100" w:beforeAutospacing="1" w:after="100" w:afterAutospacing="1" w:line="360" w:lineRule="auto"/>
        <w:rPr>
          <w:rFonts w:ascii="Arial" w:hAnsi="Arial" w:cs="Arial"/>
        </w:rPr>
      </w:pPr>
      <w:r w:rsidRPr="00C57C8D">
        <w:rPr>
          <w:rFonts w:ascii="Arial" w:eastAsia="Times New Roman" w:hAnsi="Arial" w:cs="Arial"/>
          <w:lang w:eastAsia="en-GB"/>
        </w:rPr>
        <w:t xml:space="preserve">For WRES Indicator 3: </w:t>
      </w:r>
      <w:r w:rsidRPr="00C57C8D">
        <w:rPr>
          <w:rFonts w:ascii="Arial" w:hAnsi="Arial" w:cs="Arial"/>
        </w:rPr>
        <w:t xml:space="preserve">Relative likelihood of staff entering a formal disciplinary investigation, we have seen the gap narrow </w:t>
      </w:r>
      <w:r w:rsidR="002E1FAB" w:rsidRPr="00C57C8D">
        <w:rPr>
          <w:rFonts w:ascii="Arial" w:hAnsi="Arial" w:cs="Arial"/>
        </w:rPr>
        <w:t xml:space="preserve">significantly </w:t>
      </w:r>
      <w:r w:rsidRPr="00C57C8D">
        <w:rPr>
          <w:rFonts w:ascii="Arial" w:hAnsi="Arial" w:cs="Arial"/>
        </w:rPr>
        <w:t>between ethnically diverse and White staff.</w:t>
      </w:r>
    </w:p>
    <w:p w14:paraId="156F13D6" w14:textId="77777777" w:rsidR="00BF1015" w:rsidRPr="00C57C8D" w:rsidRDefault="00BF1015" w:rsidP="002412B6">
      <w:pPr>
        <w:pStyle w:val="ListParagraph"/>
        <w:spacing w:before="100" w:beforeAutospacing="1" w:after="100" w:afterAutospacing="1" w:line="360" w:lineRule="auto"/>
        <w:rPr>
          <w:rFonts w:ascii="Arial" w:hAnsi="Arial" w:cs="Arial"/>
        </w:rPr>
      </w:pPr>
    </w:p>
    <w:p w14:paraId="1516595D" w14:textId="45F68A94" w:rsidR="00BF1015" w:rsidRPr="00C57C8D" w:rsidRDefault="00BF1015" w:rsidP="002412B6">
      <w:pPr>
        <w:pStyle w:val="ListParagraph"/>
        <w:numPr>
          <w:ilvl w:val="0"/>
          <w:numId w:val="3"/>
        </w:numPr>
        <w:spacing w:before="100" w:beforeAutospacing="1" w:after="100" w:afterAutospacing="1" w:line="360" w:lineRule="auto"/>
        <w:textAlignment w:val="baseline"/>
        <w:outlineLvl w:val="1"/>
        <w:rPr>
          <w:rFonts w:ascii="Arial" w:eastAsia="Times New Roman" w:hAnsi="Arial" w:cs="Arial"/>
          <w:lang w:eastAsia="en-GB"/>
        </w:rPr>
      </w:pPr>
      <w:r w:rsidRPr="00C57C8D">
        <w:rPr>
          <w:rFonts w:ascii="Arial" w:eastAsia="Times New Roman" w:hAnsi="Arial" w:cs="Arial"/>
          <w:lang w:eastAsia="en-GB"/>
        </w:rPr>
        <w:t xml:space="preserve">For WRES indicator 4: </w:t>
      </w:r>
      <w:r w:rsidRPr="00C57C8D">
        <w:rPr>
          <w:rFonts w:ascii="Arial" w:hAnsi="Arial" w:cs="Arial"/>
        </w:rPr>
        <w:t>Relative likelihood of staff accessing non-mandatory training and CPD</w:t>
      </w:r>
      <w:r w:rsidR="00074DF7" w:rsidRPr="00C57C8D">
        <w:rPr>
          <w:rFonts w:ascii="Arial" w:hAnsi="Arial" w:cs="Arial"/>
        </w:rPr>
        <w:t xml:space="preserve">, </w:t>
      </w:r>
      <w:r w:rsidR="00CB1AD0" w:rsidRPr="00C57C8D">
        <w:rPr>
          <w:rFonts w:ascii="Arial" w:hAnsi="Arial" w:cs="Arial"/>
        </w:rPr>
        <w:t xml:space="preserve">the Trust is demonstrating </w:t>
      </w:r>
      <w:r w:rsidRPr="00C57C8D">
        <w:rPr>
          <w:rFonts w:ascii="Arial" w:hAnsi="Arial" w:cs="Arial"/>
        </w:rPr>
        <w:t>equality between ethnically diverse and White staff accessing non-mandatory training and CPD</w:t>
      </w:r>
    </w:p>
    <w:p w14:paraId="58739A65" w14:textId="77777777" w:rsidR="00891A67" w:rsidRPr="00C57C8D" w:rsidRDefault="00891A67" w:rsidP="002412B6">
      <w:pPr>
        <w:pStyle w:val="ListParagraph"/>
        <w:spacing w:before="100" w:beforeAutospacing="1" w:after="100" w:afterAutospacing="1" w:line="360" w:lineRule="auto"/>
        <w:textAlignment w:val="baseline"/>
        <w:outlineLvl w:val="1"/>
        <w:rPr>
          <w:rFonts w:ascii="Arial" w:eastAsia="Times New Roman" w:hAnsi="Arial" w:cs="Arial"/>
          <w:lang w:eastAsia="en-GB"/>
        </w:rPr>
      </w:pPr>
    </w:p>
    <w:p w14:paraId="0CE287BF" w14:textId="499446F9" w:rsidR="00703B53" w:rsidRPr="00C57C8D" w:rsidRDefault="00703B53" w:rsidP="002412B6">
      <w:pPr>
        <w:pStyle w:val="ListParagraph"/>
        <w:numPr>
          <w:ilvl w:val="0"/>
          <w:numId w:val="3"/>
        </w:numPr>
        <w:spacing w:before="100" w:beforeAutospacing="1" w:after="100" w:afterAutospacing="1" w:line="360" w:lineRule="auto"/>
        <w:textAlignment w:val="baseline"/>
        <w:outlineLvl w:val="1"/>
        <w:rPr>
          <w:rFonts w:ascii="Arial" w:eastAsia="Times New Roman" w:hAnsi="Arial" w:cs="Arial"/>
          <w:lang w:eastAsia="en-GB"/>
        </w:rPr>
      </w:pPr>
      <w:r w:rsidRPr="00C57C8D">
        <w:rPr>
          <w:rFonts w:ascii="Arial" w:eastAsia="Times New Roman" w:hAnsi="Arial" w:cs="Arial"/>
          <w:lang w:eastAsia="en-GB"/>
        </w:rPr>
        <w:t xml:space="preserve">For WRES </w:t>
      </w:r>
      <w:r w:rsidR="00751639" w:rsidRPr="00C57C8D">
        <w:rPr>
          <w:rFonts w:ascii="Arial" w:eastAsia="Times New Roman" w:hAnsi="Arial" w:cs="Arial"/>
          <w:lang w:eastAsia="en-GB"/>
        </w:rPr>
        <w:t>indicators</w:t>
      </w:r>
      <w:r w:rsidRPr="00C57C8D">
        <w:rPr>
          <w:rFonts w:ascii="Arial" w:eastAsia="Times New Roman" w:hAnsi="Arial" w:cs="Arial"/>
          <w:lang w:eastAsia="en-GB"/>
        </w:rPr>
        <w:t xml:space="preserve"> 5 through </w:t>
      </w:r>
      <w:r w:rsidR="00751639" w:rsidRPr="00C57C8D">
        <w:rPr>
          <w:rFonts w:ascii="Arial" w:eastAsia="Times New Roman" w:hAnsi="Arial" w:cs="Arial"/>
          <w:lang w:eastAsia="en-GB"/>
        </w:rPr>
        <w:t xml:space="preserve">8, </w:t>
      </w:r>
      <w:r w:rsidR="006F3DB0" w:rsidRPr="00C57C8D">
        <w:rPr>
          <w:rFonts w:ascii="Arial" w:eastAsia="Times New Roman" w:hAnsi="Arial" w:cs="Arial"/>
          <w:lang w:eastAsia="en-GB"/>
        </w:rPr>
        <w:t>representing</w:t>
      </w:r>
      <w:r w:rsidR="00751639" w:rsidRPr="00C57C8D">
        <w:rPr>
          <w:rFonts w:ascii="Arial" w:eastAsia="Times New Roman" w:hAnsi="Arial" w:cs="Arial"/>
          <w:lang w:eastAsia="en-GB"/>
        </w:rPr>
        <w:t xml:space="preserve"> NSS responses</w:t>
      </w:r>
      <w:r w:rsidR="000C0141" w:rsidRPr="00C57C8D">
        <w:rPr>
          <w:rFonts w:ascii="Arial" w:eastAsia="Times New Roman" w:hAnsi="Arial" w:cs="Arial"/>
          <w:lang w:eastAsia="en-GB"/>
        </w:rPr>
        <w:t>,</w:t>
      </w:r>
      <w:r w:rsidR="00751639" w:rsidRPr="00C57C8D">
        <w:rPr>
          <w:rFonts w:ascii="Arial" w:eastAsia="Times New Roman" w:hAnsi="Arial" w:cs="Arial"/>
          <w:lang w:eastAsia="en-GB"/>
        </w:rPr>
        <w:t xml:space="preserve"> the Trust has improved</w:t>
      </w:r>
      <w:r w:rsidR="000C0141" w:rsidRPr="00C57C8D">
        <w:rPr>
          <w:rFonts w:ascii="Arial" w:eastAsia="Times New Roman" w:hAnsi="Arial" w:cs="Arial"/>
          <w:lang w:eastAsia="en-GB"/>
        </w:rPr>
        <w:t xml:space="preserve"> on the previous year's figures in all four.</w:t>
      </w:r>
      <w:r w:rsidR="00102B2A" w:rsidRPr="00C57C8D">
        <w:rPr>
          <w:rFonts w:ascii="Arial" w:eastAsia="Times New Roman" w:hAnsi="Arial" w:cs="Arial"/>
          <w:lang w:eastAsia="en-GB"/>
        </w:rPr>
        <w:br/>
      </w:r>
    </w:p>
    <w:p w14:paraId="35831D9A" w14:textId="3B9E02D5" w:rsidR="00102B2A" w:rsidRPr="00C57C8D" w:rsidRDefault="00102B2A" w:rsidP="002412B6">
      <w:pPr>
        <w:pStyle w:val="ListParagraph"/>
        <w:numPr>
          <w:ilvl w:val="1"/>
          <w:numId w:val="3"/>
        </w:numPr>
        <w:spacing w:before="100" w:beforeAutospacing="1" w:after="100" w:afterAutospacing="1" w:line="360" w:lineRule="auto"/>
        <w:textAlignment w:val="baseline"/>
        <w:outlineLvl w:val="1"/>
        <w:rPr>
          <w:rFonts w:ascii="Arial" w:eastAsia="Times New Roman" w:hAnsi="Arial" w:cs="Arial"/>
          <w:lang w:eastAsia="en-GB"/>
        </w:rPr>
      </w:pPr>
      <w:r w:rsidRPr="00C57C8D">
        <w:rPr>
          <w:rFonts w:ascii="Arial" w:eastAsia="Times New Roman" w:hAnsi="Arial" w:cs="Arial"/>
          <w:lang w:eastAsia="en-GB"/>
        </w:rPr>
        <w:t xml:space="preserve">We have seen year-on-year improvement for three </w:t>
      </w:r>
      <w:r w:rsidR="00DF3BD0" w:rsidRPr="00C57C8D">
        <w:rPr>
          <w:rFonts w:ascii="Arial" w:eastAsia="Times New Roman" w:hAnsi="Arial" w:cs="Arial"/>
          <w:lang w:eastAsia="en-GB"/>
        </w:rPr>
        <w:t>indicators</w:t>
      </w:r>
      <w:r w:rsidRPr="00C57C8D">
        <w:rPr>
          <w:rFonts w:ascii="Arial" w:eastAsia="Times New Roman" w:hAnsi="Arial" w:cs="Arial"/>
          <w:lang w:eastAsia="en-GB"/>
        </w:rPr>
        <w:t xml:space="preserve"> since 2020</w:t>
      </w:r>
      <w:r w:rsidR="00DF3BD0" w:rsidRPr="00C57C8D">
        <w:rPr>
          <w:rFonts w:ascii="Arial" w:eastAsia="Times New Roman" w:hAnsi="Arial" w:cs="Arial"/>
          <w:lang w:eastAsia="en-GB"/>
        </w:rPr>
        <w:t>.</w:t>
      </w:r>
      <w:r w:rsidR="00DF3BD0" w:rsidRPr="00C57C8D">
        <w:rPr>
          <w:rFonts w:ascii="Arial" w:eastAsia="Times New Roman" w:hAnsi="Arial" w:cs="Arial"/>
          <w:lang w:eastAsia="en-GB"/>
        </w:rPr>
        <w:br/>
      </w:r>
    </w:p>
    <w:p w14:paraId="56D7F890" w14:textId="2D1A198C" w:rsidR="00DF3BD0" w:rsidRPr="00C57C8D" w:rsidRDefault="002E0AE5" w:rsidP="002412B6">
      <w:pPr>
        <w:pStyle w:val="ListParagraph"/>
        <w:numPr>
          <w:ilvl w:val="1"/>
          <w:numId w:val="3"/>
        </w:numPr>
        <w:spacing w:before="100" w:beforeAutospacing="1" w:after="100" w:afterAutospacing="1" w:line="360" w:lineRule="auto"/>
        <w:textAlignment w:val="baseline"/>
        <w:outlineLvl w:val="1"/>
        <w:rPr>
          <w:rFonts w:ascii="Arial" w:eastAsia="Times New Roman" w:hAnsi="Arial" w:cs="Arial"/>
          <w:lang w:eastAsia="en-GB"/>
        </w:rPr>
      </w:pPr>
      <w:r w:rsidRPr="00C57C8D">
        <w:rPr>
          <w:rFonts w:ascii="Arial" w:eastAsia="Times New Roman" w:hAnsi="Arial" w:cs="Arial"/>
          <w:lang w:eastAsia="en-GB"/>
        </w:rPr>
        <w:t xml:space="preserve">In two of the four indicators, we have seen a </w:t>
      </w:r>
      <w:r w:rsidR="00DF3BD0" w:rsidRPr="00C57C8D">
        <w:rPr>
          <w:rFonts w:ascii="Arial" w:eastAsia="Times New Roman" w:hAnsi="Arial" w:cs="Arial"/>
          <w:lang w:eastAsia="en-GB"/>
        </w:rPr>
        <w:t>significant narrowing of the gap between ethnically diverse and White staff and is the closest the figure has been to that of White colleagues since 2020.</w:t>
      </w:r>
    </w:p>
    <w:p w14:paraId="42730097" w14:textId="04235D4E" w:rsidR="000C0141" w:rsidRPr="00C57C8D" w:rsidRDefault="000C0141" w:rsidP="002412B6">
      <w:pPr>
        <w:pStyle w:val="Default"/>
        <w:numPr>
          <w:ilvl w:val="1"/>
          <w:numId w:val="3"/>
        </w:numPr>
        <w:spacing w:before="100" w:beforeAutospacing="1" w:after="100" w:afterAutospacing="1" w:line="360" w:lineRule="auto"/>
        <w:rPr>
          <w:rFonts w:ascii="Arial" w:hAnsi="Arial" w:cs="Arial"/>
          <w:sz w:val="22"/>
          <w:szCs w:val="22"/>
        </w:rPr>
      </w:pPr>
      <w:r w:rsidRPr="00C57C8D">
        <w:rPr>
          <w:rFonts w:ascii="Arial" w:eastAsia="Times New Roman" w:hAnsi="Arial" w:cs="Arial"/>
          <w:color w:val="auto"/>
          <w:sz w:val="22"/>
          <w:szCs w:val="22"/>
          <w:lang w:eastAsia="en-GB"/>
        </w:rPr>
        <w:lastRenderedPageBreak/>
        <w:t>We have observed an improvement in the number of ethnically diverse staff completing the NSS, increasing from 50 in 2020 to 152 in 2024.</w:t>
      </w:r>
      <w:r w:rsidR="00CB1AD0" w:rsidRPr="00C57C8D">
        <w:rPr>
          <w:rFonts w:ascii="Arial" w:eastAsia="Times New Roman" w:hAnsi="Arial" w:cs="Arial"/>
          <w:color w:val="auto"/>
          <w:sz w:val="22"/>
          <w:szCs w:val="22"/>
          <w:lang w:eastAsia="en-GB"/>
        </w:rPr>
        <w:br/>
      </w:r>
    </w:p>
    <w:p w14:paraId="5F2229C5" w14:textId="29616B3D" w:rsidR="00453961" w:rsidRPr="002412B6" w:rsidRDefault="00A511F9" w:rsidP="002412B6">
      <w:pPr>
        <w:pStyle w:val="Default"/>
        <w:numPr>
          <w:ilvl w:val="0"/>
          <w:numId w:val="3"/>
        </w:numPr>
        <w:spacing w:before="100" w:beforeAutospacing="1" w:after="100" w:afterAutospacing="1" w:line="360" w:lineRule="auto"/>
        <w:rPr>
          <w:rFonts w:ascii="Arial" w:hAnsi="Arial" w:cs="Arial"/>
          <w:sz w:val="22"/>
          <w:szCs w:val="22"/>
        </w:rPr>
      </w:pPr>
      <w:r w:rsidRPr="00C57C8D">
        <w:rPr>
          <w:rFonts w:ascii="Arial" w:eastAsia="Times New Roman" w:hAnsi="Arial" w:cs="Arial"/>
          <w:sz w:val="22"/>
          <w:szCs w:val="22"/>
          <w:lang w:eastAsia="en-GB"/>
        </w:rPr>
        <w:t>For WRES indicator 9: the percentage difference between the organisation’s Board voting membership and its overall workforce. With a figure of 11.1%, surpassing our workforce and local demographic representation, the Trust performs well against the national comparison figure of minus</w:t>
      </w:r>
      <w:r w:rsidR="00453961" w:rsidRPr="00C57C8D">
        <w:rPr>
          <w:rFonts w:ascii="Arial" w:eastAsia="Times New Roman" w:hAnsi="Arial" w:cs="Arial"/>
          <w:sz w:val="22"/>
          <w:szCs w:val="22"/>
          <w:lang w:eastAsia="en-GB"/>
        </w:rPr>
        <w:t xml:space="preserve"> </w:t>
      </w:r>
      <w:r w:rsidRPr="00C57C8D">
        <w:rPr>
          <w:rFonts w:ascii="Arial" w:eastAsia="Times New Roman" w:hAnsi="Arial" w:cs="Arial"/>
          <w:sz w:val="22"/>
          <w:szCs w:val="22"/>
          <w:lang w:eastAsia="en-GB"/>
        </w:rPr>
        <w:t>10.9%.</w:t>
      </w:r>
    </w:p>
    <w:p w14:paraId="715AE596" w14:textId="3D67C2CE" w:rsidR="00453961" w:rsidRPr="00C57C8D" w:rsidRDefault="00453961" w:rsidP="002412B6">
      <w:pPr>
        <w:pStyle w:val="Default"/>
        <w:spacing w:before="100" w:beforeAutospacing="1" w:after="100" w:afterAutospacing="1" w:line="360" w:lineRule="auto"/>
        <w:rPr>
          <w:rFonts w:ascii="Arial" w:eastAsia="Times New Roman" w:hAnsi="Arial" w:cs="Arial"/>
          <w:b/>
          <w:bCs/>
          <w:sz w:val="22"/>
          <w:szCs w:val="22"/>
          <w:lang w:eastAsia="en-GB"/>
        </w:rPr>
      </w:pPr>
      <w:r w:rsidRPr="00C57C8D">
        <w:rPr>
          <w:rFonts w:ascii="Arial" w:eastAsia="Times New Roman" w:hAnsi="Arial" w:cs="Arial"/>
          <w:b/>
          <w:bCs/>
          <w:sz w:val="22"/>
          <w:szCs w:val="22"/>
          <w:lang w:eastAsia="en-GB"/>
        </w:rPr>
        <w:t>Areas for Focus</w:t>
      </w:r>
    </w:p>
    <w:p w14:paraId="2FBE329F" w14:textId="6702E5EF" w:rsidR="00453961" w:rsidRPr="00C57C8D" w:rsidRDefault="00116770" w:rsidP="002412B6">
      <w:pPr>
        <w:pStyle w:val="Default"/>
        <w:numPr>
          <w:ilvl w:val="0"/>
          <w:numId w:val="5"/>
        </w:numPr>
        <w:spacing w:before="100" w:beforeAutospacing="1" w:after="100" w:afterAutospacing="1" w:line="360" w:lineRule="auto"/>
        <w:rPr>
          <w:rFonts w:ascii="Arial" w:hAnsi="Arial" w:cs="Arial"/>
          <w:sz w:val="22"/>
          <w:szCs w:val="22"/>
        </w:rPr>
      </w:pPr>
      <w:r w:rsidRPr="00C57C8D">
        <w:rPr>
          <w:rFonts w:ascii="Arial" w:hAnsi="Arial" w:cs="Arial"/>
          <w:sz w:val="22"/>
          <w:szCs w:val="22"/>
        </w:rPr>
        <w:t>Despite seeing an improvement in WRES indicator 5, the</w:t>
      </w:r>
      <w:r w:rsidR="00BF00F3" w:rsidRPr="00C57C8D">
        <w:rPr>
          <w:rFonts w:ascii="Arial" w:hAnsi="Arial" w:cs="Arial"/>
          <w:sz w:val="22"/>
          <w:szCs w:val="22"/>
        </w:rPr>
        <w:t xml:space="preserve"> percentage of </w:t>
      </w:r>
      <w:r w:rsidR="00BF00F3" w:rsidRPr="00C57C8D">
        <w:rPr>
          <w:rFonts w:ascii="Arial" w:eastAsia="Times New Roman" w:hAnsi="Arial" w:cs="Arial"/>
          <w:color w:val="auto"/>
          <w:sz w:val="22"/>
          <w:szCs w:val="22"/>
          <w:lang w:eastAsia="en-GB"/>
        </w:rPr>
        <w:t>ethnically diverse staff who have experienced harassment, bullying, or abuse from patients, relatives, or the public in the last 12 months</w:t>
      </w:r>
      <w:r w:rsidRPr="00C57C8D">
        <w:rPr>
          <w:rFonts w:ascii="Arial" w:hAnsi="Arial" w:cs="Arial"/>
          <w:sz w:val="22"/>
          <w:szCs w:val="22"/>
        </w:rPr>
        <w:t xml:space="preserve"> </w:t>
      </w:r>
      <w:r w:rsidR="00BF00F3" w:rsidRPr="00C57C8D">
        <w:rPr>
          <w:rFonts w:ascii="Arial" w:hAnsi="Arial" w:cs="Arial"/>
          <w:sz w:val="22"/>
          <w:szCs w:val="22"/>
        </w:rPr>
        <w:t xml:space="preserve">is </w:t>
      </w:r>
      <w:r w:rsidRPr="00C57C8D">
        <w:rPr>
          <w:rFonts w:ascii="Arial" w:hAnsi="Arial" w:cs="Arial"/>
          <w:sz w:val="22"/>
          <w:szCs w:val="22"/>
        </w:rPr>
        <w:t>33.55%</w:t>
      </w:r>
      <w:r w:rsidR="00BF00F3" w:rsidRPr="00C57C8D">
        <w:rPr>
          <w:rFonts w:ascii="Arial" w:hAnsi="Arial" w:cs="Arial"/>
          <w:sz w:val="22"/>
          <w:szCs w:val="22"/>
        </w:rPr>
        <w:t xml:space="preserve">, which is higher than the national figure of </w:t>
      </w:r>
      <w:r w:rsidR="00BF00F3" w:rsidRPr="00C57C8D">
        <w:rPr>
          <w:rFonts w:ascii="Arial" w:eastAsia="Times New Roman" w:hAnsi="Arial" w:cs="Arial"/>
          <w:color w:val="auto"/>
          <w:sz w:val="22"/>
          <w:szCs w:val="22"/>
          <w:lang w:eastAsia="en-GB"/>
        </w:rPr>
        <w:t xml:space="preserve">31.64%. </w:t>
      </w:r>
      <w:r w:rsidR="00CB27D3" w:rsidRPr="00C57C8D">
        <w:rPr>
          <w:rFonts w:ascii="Arial" w:eastAsia="Times New Roman" w:hAnsi="Arial" w:cs="Arial"/>
          <w:color w:val="auto"/>
          <w:sz w:val="22"/>
          <w:szCs w:val="22"/>
          <w:lang w:eastAsia="en-GB"/>
        </w:rPr>
        <w:br/>
      </w:r>
    </w:p>
    <w:p w14:paraId="3C319F73" w14:textId="397C2731" w:rsidR="00F75CD5" w:rsidRPr="002412B6" w:rsidRDefault="00CD36BB" w:rsidP="002412B6">
      <w:pPr>
        <w:pStyle w:val="Default"/>
        <w:numPr>
          <w:ilvl w:val="0"/>
          <w:numId w:val="5"/>
        </w:numPr>
        <w:spacing w:before="100" w:beforeAutospacing="1" w:after="100" w:afterAutospacing="1" w:line="360" w:lineRule="auto"/>
        <w:rPr>
          <w:rFonts w:ascii="Arial" w:hAnsi="Arial" w:cs="Arial"/>
          <w:sz w:val="22"/>
          <w:szCs w:val="22"/>
        </w:rPr>
      </w:pPr>
      <w:r w:rsidRPr="00C57C8D">
        <w:rPr>
          <w:rFonts w:ascii="Arial" w:hAnsi="Arial" w:cs="Arial"/>
          <w:sz w:val="22"/>
          <w:szCs w:val="22"/>
        </w:rPr>
        <w:t xml:space="preserve">Despite seeing an improvement in </w:t>
      </w:r>
      <w:r w:rsidR="002D5055" w:rsidRPr="00C57C8D">
        <w:rPr>
          <w:rFonts w:ascii="Arial" w:eastAsia="Times New Roman" w:hAnsi="Arial" w:cs="Arial"/>
          <w:sz w:val="22"/>
          <w:szCs w:val="22"/>
          <w:lang w:eastAsia="en-GB"/>
        </w:rPr>
        <w:t>WRES indicator 8</w:t>
      </w:r>
      <w:r w:rsidRPr="00C57C8D">
        <w:rPr>
          <w:rFonts w:ascii="Arial" w:eastAsia="Times New Roman" w:hAnsi="Arial" w:cs="Arial"/>
          <w:sz w:val="22"/>
          <w:szCs w:val="22"/>
          <w:lang w:eastAsia="en-GB"/>
        </w:rPr>
        <w:t xml:space="preserve">, </w:t>
      </w:r>
      <w:r w:rsidRPr="00C57C8D">
        <w:rPr>
          <w:rFonts w:ascii="Arial" w:hAnsi="Arial" w:cs="Arial"/>
          <w:sz w:val="22"/>
          <w:szCs w:val="22"/>
        </w:rPr>
        <w:t xml:space="preserve">the percentage of </w:t>
      </w:r>
      <w:r w:rsidRPr="00C57C8D">
        <w:rPr>
          <w:rFonts w:ascii="Arial" w:eastAsia="Times New Roman" w:hAnsi="Arial" w:cs="Arial"/>
          <w:color w:val="auto"/>
          <w:sz w:val="22"/>
          <w:szCs w:val="22"/>
          <w:lang w:eastAsia="en-GB"/>
        </w:rPr>
        <w:t xml:space="preserve">ethnically diverse staff </w:t>
      </w:r>
      <w:r w:rsidR="000F5008" w:rsidRPr="00C57C8D">
        <w:rPr>
          <w:rFonts w:ascii="Arial" w:eastAsia="Times New Roman" w:hAnsi="Arial" w:cs="Arial"/>
          <w:color w:val="auto"/>
          <w:sz w:val="22"/>
          <w:szCs w:val="22"/>
          <w:lang w:eastAsia="en-GB"/>
        </w:rPr>
        <w:t>who</w:t>
      </w:r>
      <w:r w:rsidR="00673AFD">
        <w:rPr>
          <w:rFonts w:ascii="Arial" w:eastAsia="Times New Roman" w:hAnsi="Arial" w:cs="Arial"/>
          <w:color w:val="auto"/>
          <w:sz w:val="22"/>
          <w:szCs w:val="22"/>
          <w:lang w:eastAsia="en-GB"/>
        </w:rPr>
        <w:t xml:space="preserve"> </w:t>
      </w:r>
      <w:r w:rsidR="000F5008" w:rsidRPr="00C57C8D">
        <w:rPr>
          <w:rFonts w:ascii="Arial" w:eastAsia="Times New Roman" w:hAnsi="Arial" w:cs="Arial"/>
          <w:color w:val="auto"/>
          <w:sz w:val="22"/>
          <w:szCs w:val="22"/>
          <w:lang w:eastAsia="en-GB"/>
        </w:rPr>
        <w:t>have experienced discrimination from their manager, team leader, or colleagues in the last 12 months is 11.49%, significantly higher</w:t>
      </w:r>
      <w:r w:rsidR="000F5008" w:rsidRPr="00C57C8D">
        <w:rPr>
          <w:rFonts w:ascii="Arial" w:eastAsia="Times New Roman" w:hAnsi="Arial" w:cs="Arial"/>
          <w:sz w:val="22"/>
          <w:szCs w:val="22"/>
          <w:lang w:eastAsia="en-GB"/>
        </w:rPr>
        <w:t xml:space="preserve"> than it is for White staff at 5.21%</w:t>
      </w:r>
    </w:p>
    <w:p w14:paraId="7B317E43" w14:textId="2A8874F5" w:rsidR="00F75CD5" w:rsidRPr="00C47667" w:rsidRDefault="00C47667" w:rsidP="002412B6">
      <w:pPr>
        <w:pStyle w:val="NoSpacing"/>
        <w:pBdr>
          <w:bottom w:val="single" w:sz="4" w:space="1" w:color="auto"/>
        </w:pBdr>
        <w:spacing w:before="100" w:beforeAutospacing="1" w:after="100" w:afterAutospacing="1" w:line="360" w:lineRule="auto"/>
        <w:rPr>
          <w:rFonts w:ascii="Arial" w:hAnsi="Arial" w:cs="Arial"/>
          <w:b/>
          <w:bCs/>
          <w:color w:val="2F5496" w:themeColor="accent1" w:themeShade="BF"/>
          <w:sz w:val="24"/>
          <w:szCs w:val="24"/>
        </w:rPr>
      </w:pPr>
      <w:r w:rsidRPr="00C47667">
        <w:rPr>
          <w:rFonts w:ascii="Arial" w:hAnsi="Arial" w:cs="Arial"/>
          <w:b/>
          <w:bCs/>
          <w:color w:val="2F5496" w:themeColor="accent1" w:themeShade="BF"/>
          <w:sz w:val="24"/>
          <w:szCs w:val="24"/>
        </w:rPr>
        <w:t xml:space="preserve">2. </w:t>
      </w:r>
      <w:r w:rsidR="00F75CD5" w:rsidRPr="00C47667">
        <w:rPr>
          <w:rFonts w:ascii="Arial" w:hAnsi="Arial" w:cs="Arial"/>
          <w:b/>
          <w:bCs/>
          <w:color w:val="2F5496" w:themeColor="accent1" w:themeShade="BF"/>
          <w:sz w:val="24"/>
          <w:szCs w:val="24"/>
        </w:rPr>
        <w:t>Introduction</w:t>
      </w:r>
    </w:p>
    <w:p w14:paraId="110051BC" w14:textId="449385D6" w:rsidR="00F75CD5" w:rsidRPr="00C57C8D" w:rsidRDefault="00C7749A" w:rsidP="002412B6">
      <w:pPr>
        <w:pStyle w:val="NoSpacing"/>
        <w:spacing w:before="100" w:beforeAutospacing="1" w:after="100" w:afterAutospacing="1" w:line="360" w:lineRule="auto"/>
        <w:rPr>
          <w:rFonts w:ascii="Arial" w:hAnsi="Arial" w:cs="Arial"/>
        </w:rPr>
      </w:pPr>
      <w:r>
        <w:rPr>
          <w:rFonts w:ascii="Arial" w:hAnsi="Arial" w:cs="Arial"/>
        </w:rPr>
        <w:t xml:space="preserve">The Workforce Race Equality Standard (WRES) was mandated through the NHS standard contract in 2015, with the first report released in June 2016. Since then, the Trust has published its progress annually against various indicators, emphasising efforts to address workplace inequality and demonstrating advancement in relation to the nine WRES indicators. This approach enables the Trust to fully comprehend local challenges, implement necessary changes, </w:t>
      </w:r>
      <w:proofErr w:type="gramStart"/>
      <w:r>
        <w:rPr>
          <w:rFonts w:ascii="Arial" w:hAnsi="Arial" w:cs="Arial"/>
        </w:rPr>
        <w:t>and also</w:t>
      </w:r>
      <w:proofErr w:type="gramEnd"/>
      <w:r>
        <w:rPr>
          <w:rFonts w:ascii="Arial" w:hAnsi="Arial" w:cs="Arial"/>
        </w:rPr>
        <w:t xml:space="preserve"> track our progress on a broader scale by comparing regional and national issues.</w:t>
      </w:r>
    </w:p>
    <w:p w14:paraId="220D29C9" w14:textId="5481BE4C" w:rsidR="00C47667" w:rsidRDefault="00F75CD5" w:rsidP="002412B6">
      <w:pPr>
        <w:pStyle w:val="NoSpacing"/>
        <w:spacing w:before="100" w:beforeAutospacing="1" w:after="100" w:afterAutospacing="1" w:line="360" w:lineRule="auto"/>
        <w:rPr>
          <w:rFonts w:ascii="Arial" w:hAnsi="Arial" w:cs="Arial"/>
        </w:rPr>
      </w:pPr>
      <w:r w:rsidRPr="00C57C8D">
        <w:rPr>
          <w:rFonts w:ascii="Arial" w:hAnsi="Arial" w:cs="Arial"/>
        </w:rPr>
        <w:t xml:space="preserve">In the ICBs recent evaluation of the six Trusts in our system, the Trust’s WRES results position well when compared to our system partners, where we position higher in almost all areas. </w:t>
      </w:r>
    </w:p>
    <w:p w14:paraId="6FB434BE" w14:textId="77777777" w:rsidR="006A049A" w:rsidRDefault="006A049A" w:rsidP="002412B6">
      <w:pPr>
        <w:pStyle w:val="NoSpacing"/>
        <w:spacing w:before="100" w:beforeAutospacing="1" w:after="100" w:afterAutospacing="1" w:line="360" w:lineRule="auto"/>
        <w:rPr>
          <w:rFonts w:ascii="Arial" w:hAnsi="Arial" w:cs="Arial"/>
        </w:rPr>
      </w:pPr>
    </w:p>
    <w:p w14:paraId="293FEB60" w14:textId="77777777" w:rsidR="006A049A" w:rsidRPr="00C57C8D" w:rsidRDefault="006A049A" w:rsidP="002412B6">
      <w:pPr>
        <w:pStyle w:val="NoSpacing"/>
        <w:spacing w:before="100" w:beforeAutospacing="1" w:after="100" w:afterAutospacing="1" w:line="360" w:lineRule="auto"/>
        <w:rPr>
          <w:rFonts w:ascii="Arial" w:hAnsi="Arial" w:cs="Arial"/>
        </w:rPr>
      </w:pPr>
    </w:p>
    <w:p w14:paraId="591A296A" w14:textId="04DA2FA4" w:rsidR="00453961" w:rsidRPr="00C47667" w:rsidRDefault="00C47667" w:rsidP="00C47667">
      <w:pPr>
        <w:pBdr>
          <w:bottom w:val="single" w:sz="4" w:space="1" w:color="auto"/>
        </w:pBdr>
        <w:spacing w:before="100" w:beforeAutospacing="1" w:after="100" w:afterAutospacing="1" w:line="360" w:lineRule="auto"/>
        <w:textAlignment w:val="baseline"/>
        <w:outlineLvl w:val="1"/>
        <w:rPr>
          <w:rFonts w:ascii="Arial" w:eastAsia="Times New Roman" w:hAnsi="Arial" w:cs="Arial"/>
          <w:b/>
          <w:bCs/>
          <w:color w:val="2F5496" w:themeColor="accent1" w:themeShade="BF"/>
          <w:sz w:val="24"/>
          <w:szCs w:val="24"/>
          <w:lang w:eastAsia="en-GB"/>
        </w:rPr>
      </w:pPr>
      <w:r>
        <w:rPr>
          <w:rFonts w:ascii="Arial" w:eastAsia="Times New Roman" w:hAnsi="Arial" w:cs="Arial"/>
          <w:b/>
          <w:bCs/>
          <w:color w:val="2F5496" w:themeColor="accent1" w:themeShade="BF"/>
          <w:sz w:val="24"/>
          <w:szCs w:val="24"/>
          <w:lang w:eastAsia="en-GB"/>
        </w:rPr>
        <w:lastRenderedPageBreak/>
        <w:t xml:space="preserve">3. </w:t>
      </w:r>
      <w:r w:rsidR="001A0657">
        <w:rPr>
          <w:rFonts w:ascii="Arial" w:eastAsia="Times New Roman" w:hAnsi="Arial" w:cs="Arial"/>
          <w:b/>
          <w:bCs/>
          <w:color w:val="2F5496" w:themeColor="accent1" w:themeShade="BF"/>
          <w:sz w:val="24"/>
          <w:szCs w:val="24"/>
          <w:lang w:eastAsia="en-GB"/>
        </w:rPr>
        <w:t>Analysis of our</w:t>
      </w:r>
      <w:r w:rsidR="00F11593" w:rsidRPr="00C47667">
        <w:rPr>
          <w:rFonts w:ascii="Arial" w:eastAsia="Times New Roman" w:hAnsi="Arial" w:cs="Arial"/>
          <w:b/>
          <w:bCs/>
          <w:color w:val="2F5496" w:themeColor="accent1" w:themeShade="BF"/>
          <w:sz w:val="24"/>
          <w:szCs w:val="24"/>
          <w:lang w:eastAsia="en-GB"/>
        </w:rPr>
        <w:t xml:space="preserve"> WRES Outcomes for 2024</w:t>
      </w:r>
      <w:r w:rsidR="000D1F2C">
        <w:rPr>
          <w:rFonts w:ascii="Arial" w:eastAsia="Times New Roman" w:hAnsi="Arial" w:cs="Arial"/>
          <w:b/>
          <w:bCs/>
          <w:color w:val="2F5496" w:themeColor="accent1" w:themeShade="BF"/>
          <w:sz w:val="24"/>
          <w:szCs w:val="24"/>
          <w:lang w:eastAsia="en-GB"/>
        </w:rPr>
        <w:t>/25</w:t>
      </w:r>
    </w:p>
    <w:p w14:paraId="64173604" w14:textId="7DF05976" w:rsidR="006A049A" w:rsidRPr="006A049A" w:rsidRDefault="00280735" w:rsidP="006A049A">
      <w:pPr>
        <w:spacing w:before="100" w:beforeAutospacing="1" w:after="100" w:afterAutospacing="1" w:line="360" w:lineRule="auto"/>
        <w:textAlignment w:val="baseline"/>
        <w:outlineLvl w:val="1"/>
        <w:rPr>
          <w:rFonts w:ascii="Arial" w:eastAsia="Times New Roman" w:hAnsi="Arial" w:cs="Arial"/>
          <w:lang w:eastAsia="en-GB"/>
        </w:rPr>
      </w:pPr>
      <w:r>
        <w:rPr>
          <w:rFonts w:ascii="Arial" w:eastAsia="Times New Roman" w:hAnsi="Arial" w:cs="Arial"/>
          <w:lang w:eastAsia="en-GB"/>
        </w:rPr>
        <w:t>This analysis of our WRES data is based on ESR and the National Staff survey, with a snapshot date of 31 March 2025.</w:t>
      </w:r>
    </w:p>
    <w:p w14:paraId="6ABE05EC" w14:textId="1435840A" w:rsidR="006B30F9" w:rsidRPr="00A6504D" w:rsidRDefault="006B30F9" w:rsidP="002412B6">
      <w:pPr>
        <w:pStyle w:val="ListParagraph"/>
        <w:numPr>
          <w:ilvl w:val="0"/>
          <w:numId w:val="7"/>
        </w:numPr>
        <w:spacing w:before="100" w:beforeAutospacing="1" w:after="100" w:afterAutospacing="1" w:line="360" w:lineRule="auto"/>
        <w:textAlignment w:val="baseline"/>
        <w:outlineLvl w:val="1"/>
        <w:rPr>
          <w:rFonts w:ascii="Arial" w:eastAsia="Times New Roman" w:hAnsi="Arial" w:cs="Arial"/>
          <w:lang w:eastAsia="en-GB"/>
        </w:rPr>
      </w:pPr>
      <w:r w:rsidRPr="00A6504D">
        <w:rPr>
          <w:rFonts w:ascii="Arial" w:eastAsia="Times New Roman" w:hAnsi="Arial" w:cs="Arial"/>
          <w:lang w:eastAsia="en-GB"/>
        </w:rPr>
        <w:t xml:space="preserve">For WRES Indicator 1, which analyses the representation of ethnically diverse staff across the pay bands, we have seen a 14.47% improvement in </w:t>
      </w:r>
      <w:r w:rsidR="00C966A1" w:rsidRPr="00A6504D">
        <w:rPr>
          <w:rFonts w:ascii="Arial" w:eastAsia="Times New Roman" w:hAnsi="Arial" w:cs="Arial"/>
          <w:lang w:eastAsia="en-GB"/>
        </w:rPr>
        <w:t>the</w:t>
      </w:r>
      <w:r w:rsidRPr="00A6504D">
        <w:rPr>
          <w:rFonts w:ascii="Arial" w:eastAsia="Times New Roman" w:hAnsi="Arial" w:cs="Arial"/>
          <w:lang w:eastAsia="en-GB"/>
        </w:rPr>
        <w:t xml:space="preserve"> clinical and non-clinical roles of band seven and above.</w:t>
      </w:r>
    </w:p>
    <w:p w14:paraId="0DD3963A" w14:textId="1E106FF4" w:rsidR="003F041B" w:rsidRPr="00E1070F" w:rsidRDefault="00B723B7" w:rsidP="002412B6">
      <w:pPr>
        <w:pStyle w:val="ListParagraph"/>
        <w:numPr>
          <w:ilvl w:val="0"/>
          <w:numId w:val="7"/>
        </w:numPr>
        <w:spacing w:before="100" w:beforeAutospacing="1" w:after="100" w:afterAutospacing="1" w:line="360" w:lineRule="auto"/>
        <w:textAlignment w:val="baseline"/>
        <w:outlineLvl w:val="1"/>
        <w:rPr>
          <w:rFonts w:ascii="Arial" w:eastAsia="Times New Roman" w:hAnsi="Arial" w:cs="Arial"/>
          <w:lang w:eastAsia="en-GB"/>
        </w:rPr>
      </w:pPr>
      <w:r w:rsidRPr="00EB3B30">
        <w:rPr>
          <w:rFonts w:ascii="Arial" w:eastAsia="Times New Roman" w:hAnsi="Arial" w:cs="Arial"/>
          <w:lang w:eastAsia="en-GB"/>
        </w:rPr>
        <w:t>For WRES indicator 2</w:t>
      </w:r>
      <w:r w:rsidR="00EB3B30" w:rsidRPr="00EB3B30">
        <w:rPr>
          <w:rFonts w:ascii="Arial" w:eastAsia="Times New Roman" w:hAnsi="Arial" w:cs="Arial"/>
          <w:lang w:eastAsia="en-GB"/>
        </w:rPr>
        <w:t xml:space="preserve">, </w:t>
      </w:r>
      <w:r w:rsidR="00E1070F">
        <w:rPr>
          <w:rFonts w:ascii="Arial" w:hAnsi="Arial" w:cs="Arial"/>
        </w:rPr>
        <w:t>this year's</w:t>
      </w:r>
      <w:r w:rsidR="00EF2A6B" w:rsidRPr="00EB3B30">
        <w:rPr>
          <w:rFonts w:ascii="Arial" w:hAnsi="Arial" w:cs="Arial"/>
        </w:rPr>
        <w:t xml:space="preserve"> data shows that 34.26% of White staff were appointed after shortlisting, compared to 43.96% of ethnically diverse staff</w:t>
      </w:r>
      <w:r w:rsidR="00E5635D" w:rsidRPr="00EB3B30">
        <w:rPr>
          <w:rFonts w:ascii="Arial" w:hAnsi="Arial" w:cs="Arial"/>
        </w:rPr>
        <w:t xml:space="preserve">. This results in a ratio of 0.78, </w:t>
      </w:r>
      <w:r w:rsidR="00FD4275" w:rsidRPr="00EB3B30">
        <w:rPr>
          <w:rFonts w:ascii="Arial" w:hAnsi="Arial" w:cs="Arial"/>
        </w:rPr>
        <w:t>indicating that ethnically diverse staff are likelier</w:t>
      </w:r>
      <w:r w:rsidR="00E5635D" w:rsidRPr="00EB3B30">
        <w:rPr>
          <w:rFonts w:ascii="Arial" w:hAnsi="Arial" w:cs="Arial"/>
        </w:rPr>
        <w:t xml:space="preserve"> to be appointed following shortlisting. We can be assured that ethnically diverse staff are not disadvantaged in our recruitment processes. </w:t>
      </w:r>
      <w:r w:rsidR="006C4A54" w:rsidRPr="00E1070F">
        <w:rPr>
          <w:rFonts w:ascii="Arial" w:hAnsi="Arial" w:cs="Arial"/>
        </w:rPr>
        <w:t>Last year</w:t>
      </w:r>
      <w:r w:rsidR="00FA03BA" w:rsidRPr="00E1070F">
        <w:rPr>
          <w:rFonts w:ascii="Arial" w:hAnsi="Arial" w:cs="Arial"/>
        </w:rPr>
        <w:t xml:space="preserve">, the relative likelihood of staff being appointed from shortlisting was a </w:t>
      </w:r>
      <w:r w:rsidR="00E5635D" w:rsidRPr="00E1070F">
        <w:rPr>
          <w:rFonts w:ascii="Arial" w:hAnsi="Arial" w:cs="Arial"/>
        </w:rPr>
        <w:t>ratio of 1.3, suggesting White staff were slightly more likely</w:t>
      </w:r>
      <w:r w:rsidR="00FA03BA" w:rsidRPr="00E1070F">
        <w:rPr>
          <w:rFonts w:ascii="Arial" w:hAnsi="Arial" w:cs="Arial"/>
        </w:rPr>
        <w:t xml:space="preserve"> to be appointed. </w:t>
      </w:r>
      <w:r w:rsidR="00851621" w:rsidRPr="00E1070F">
        <w:rPr>
          <w:rFonts w:ascii="Arial" w:hAnsi="Arial" w:cs="Arial"/>
        </w:rPr>
        <w:t>This compares positively to the national data, which is 1.59.</w:t>
      </w:r>
    </w:p>
    <w:p w14:paraId="52B53C2B" w14:textId="4BE609C5" w:rsidR="004D1E15" w:rsidRPr="00376D40" w:rsidRDefault="003664EA" w:rsidP="002412B6">
      <w:pPr>
        <w:pStyle w:val="ListParagraph"/>
        <w:numPr>
          <w:ilvl w:val="0"/>
          <w:numId w:val="7"/>
        </w:numPr>
        <w:spacing w:before="100" w:beforeAutospacing="1" w:after="100" w:afterAutospacing="1" w:line="360" w:lineRule="auto"/>
        <w:textAlignment w:val="baseline"/>
        <w:outlineLvl w:val="1"/>
        <w:rPr>
          <w:rFonts w:ascii="Arial" w:eastAsia="Times New Roman" w:hAnsi="Arial" w:cs="Arial"/>
          <w:lang w:eastAsia="en-GB"/>
        </w:rPr>
      </w:pPr>
      <w:r w:rsidRPr="00E1070F">
        <w:rPr>
          <w:rFonts w:ascii="Arial" w:eastAsia="Times New Roman" w:hAnsi="Arial" w:cs="Arial"/>
          <w:lang w:eastAsia="en-GB"/>
        </w:rPr>
        <w:t>For WRES indicator 3</w:t>
      </w:r>
      <w:r w:rsidR="00E1070F" w:rsidRPr="00E1070F">
        <w:rPr>
          <w:rFonts w:ascii="Arial" w:eastAsia="Times New Roman" w:hAnsi="Arial" w:cs="Arial"/>
          <w:lang w:eastAsia="en-GB"/>
        </w:rPr>
        <w:t xml:space="preserve">, </w:t>
      </w:r>
      <w:r w:rsidR="00E1070F">
        <w:rPr>
          <w:rFonts w:ascii="Arial" w:hAnsi="Arial" w:cs="Arial"/>
        </w:rPr>
        <w:t>t</w:t>
      </w:r>
      <w:r w:rsidR="004D1E15" w:rsidRPr="00E1070F">
        <w:rPr>
          <w:rFonts w:ascii="Arial" w:hAnsi="Arial" w:cs="Arial"/>
        </w:rPr>
        <w:t>his year, the data shows that 0.</w:t>
      </w:r>
      <w:r w:rsidR="003A6D5B" w:rsidRPr="00E1070F">
        <w:rPr>
          <w:rFonts w:ascii="Arial" w:hAnsi="Arial" w:cs="Arial"/>
        </w:rPr>
        <w:t>51</w:t>
      </w:r>
      <w:r w:rsidR="004D1E15" w:rsidRPr="00E1070F">
        <w:rPr>
          <w:rFonts w:ascii="Arial" w:hAnsi="Arial" w:cs="Arial"/>
        </w:rPr>
        <w:t xml:space="preserve">% of White staff entered a formal disciplinary investigation, compared to </w:t>
      </w:r>
      <w:r w:rsidR="002F1122" w:rsidRPr="00E1070F">
        <w:rPr>
          <w:rFonts w:ascii="Arial" w:hAnsi="Arial" w:cs="Arial"/>
        </w:rPr>
        <w:t>0.9</w:t>
      </w:r>
      <w:r w:rsidR="004D1E15" w:rsidRPr="00E1070F">
        <w:rPr>
          <w:rFonts w:ascii="Arial" w:hAnsi="Arial" w:cs="Arial"/>
        </w:rPr>
        <w:t xml:space="preserve">% of ethnically diverse staff. This results in a ratio of </w:t>
      </w:r>
      <w:r w:rsidR="002F1122" w:rsidRPr="00E1070F">
        <w:rPr>
          <w:rFonts w:ascii="Arial" w:hAnsi="Arial" w:cs="Arial"/>
        </w:rPr>
        <w:t>1.</w:t>
      </w:r>
      <w:r w:rsidR="0042703C" w:rsidRPr="00E1070F">
        <w:rPr>
          <w:rFonts w:ascii="Arial" w:hAnsi="Arial" w:cs="Arial"/>
        </w:rPr>
        <w:t>76</w:t>
      </w:r>
      <w:r w:rsidR="004D1E15" w:rsidRPr="00E1070F">
        <w:rPr>
          <w:rFonts w:ascii="Arial" w:hAnsi="Arial" w:cs="Arial"/>
        </w:rPr>
        <w:t xml:space="preserve">, indicating that ethnically diverse staff are likelier to </w:t>
      </w:r>
      <w:r w:rsidR="002F1122" w:rsidRPr="00E1070F">
        <w:rPr>
          <w:rFonts w:ascii="Arial" w:hAnsi="Arial" w:cs="Arial"/>
        </w:rPr>
        <w:t>enter a formal disciplinary investigation</w:t>
      </w:r>
      <w:r w:rsidR="004D1E15" w:rsidRPr="00E1070F">
        <w:rPr>
          <w:rFonts w:ascii="Arial" w:hAnsi="Arial" w:cs="Arial"/>
        </w:rPr>
        <w:t xml:space="preserve">. </w:t>
      </w:r>
      <w:r w:rsidR="002F1122" w:rsidRPr="00E1070F">
        <w:rPr>
          <w:rFonts w:ascii="Arial" w:hAnsi="Arial" w:cs="Arial"/>
        </w:rPr>
        <w:t xml:space="preserve">However, it is important to note that we are </w:t>
      </w:r>
      <w:r w:rsidR="00F02348" w:rsidRPr="00E1070F">
        <w:rPr>
          <w:rFonts w:ascii="Arial" w:hAnsi="Arial" w:cs="Arial"/>
        </w:rPr>
        <w:t>seeing statistically small numbers of staff</w:t>
      </w:r>
      <w:r w:rsidR="004D1E15" w:rsidRPr="00E1070F">
        <w:rPr>
          <w:rFonts w:ascii="Arial" w:hAnsi="Arial" w:cs="Arial"/>
        </w:rPr>
        <w:t xml:space="preserve"> </w:t>
      </w:r>
      <w:r w:rsidR="00F02348" w:rsidRPr="00E1070F">
        <w:rPr>
          <w:rFonts w:ascii="Arial" w:hAnsi="Arial" w:cs="Arial"/>
        </w:rPr>
        <w:t xml:space="preserve">entering a formal disciplinary investigation, the number </w:t>
      </w:r>
      <w:r w:rsidR="00F124C4" w:rsidRPr="00E1070F">
        <w:rPr>
          <w:rFonts w:ascii="Arial" w:hAnsi="Arial" w:cs="Arial"/>
        </w:rPr>
        <w:t>being 1</w:t>
      </w:r>
      <w:r w:rsidR="003A6D5B" w:rsidRPr="00E1070F">
        <w:rPr>
          <w:rFonts w:ascii="Arial" w:hAnsi="Arial" w:cs="Arial"/>
        </w:rPr>
        <w:t>6</w:t>
      </w:r>
      <w:r w:rsidR="00F02348" w:rsidRPr="00E1070F">
        <w:rPr>
          <w:rFonts w:ascii="Arial" w:hAnsi="Arial" w:cs="Arial"/>
        </w:rPr>
        <w:t xml:space="preserve"> for White staff and 3 for ethnically diverse staff.</w:t>
      </w:r>
      <w:r w:rsidR="00F124C4" w:rsidRPr="00E1070F">
        <w:rPr>
          <w:rFonts w:ascii="Arial" w:hAnsi="Arial" w:cs="Arial"/>
        </w:rPr>
        <w:t xml:space="preserve"> The </w:t>
      </w:r>
      <w:r w:rsidR="00D061E7" w:rsidRPr="00E1070F">
        <w:rPr>
          <w:rFonts w:ascii="Arial" w:hAnsi="Arial" w:cs="Arial"/>
        </w:rPr>
        <w:t>higher ratio is because</w:t>
      </w:r>
      <w:r w:rsidR="00F32FA5" w:rsidRPr="00E1070F">
        <w:rPr>
          <w:rFonts w:ascii="Arial" w:hAnsi="Arial" w:cs="Arial"/>
        </w:rPr>
        <w:t xml:space="preserve"> 3 staff from a total of 3</w:t>
      </w:r>
      <w:r w:rsidR="00F41485" w:rsidRPr="00E1070F">
        <w:rPr>
          <w:rFonts w:ascii="Arial" w:hAnsi="Arial" w:cs="Arial"/>
        </w:rPr>
        <w:t>32 is a larger percentage than 1</w:t>
      </w:r>
      <w:r w:rsidR="003A6D5B" w:rsidRPr="00E1070F">
        <w:rPr>
          <w:rFonts w:ascii="Arial" w:hAnsi="Arial" w:cs="Arial"/>
        </w:rPr>
        <w:t>6</w:t>
      </w:r>
      <w:r w:rsidR="00F41485" w:rsidRPr="00E1070F">
        <w:rPr>
          <w:rFonts w:ascii="Arial" w:hAnsi="Arial" w:cs="Arial"/>
        </w:rPr>
        <w:t xml:space="preserve"> staff from a total of 31</w:t>
      </w:r>
      <w:r w:rsidR="00D061E7" w:rsidRPr="00E1070F">
        <w:rPr>
          <w:rFonts w:ascii="Arial" w:hAnsi="Arial" w:cs="Arial"/>
        </w:rPr>
        <w:t>4</w:t>
      </w:r>
      <w:r w:rsidR="003A6D5B" w:rsidRPr="00E1070F">
        <w:rPr>
          <w:rFonts w:ascii="Arial" w:hAnsi="Arial" w:cs="Arial"/>
        </w:rPr>
        <w:t>6</w:t>
      </w:r>
      <w:r w:rsidR="00D061E7" w:rsidRPr="00E1070F">
        <w:rPr>
          <w:rFonts w:ascii="Arial" w:hAnsi="Arial" w:cs="Arial"/>
        </w:rPr>
        <w:t>.</w:t>
      </w:r>
      <w:r w:rsidR="009177CB">
        <w:rPr>
          <w:rFonts w:ascii="Arial" w:hAnsi="Arial" w:cs="Arial"/>
        </w:rPr>
        <w:t xml:space="preserve"> </w:t>
      </w:r>
      <w:r w:rsidR="00522ED3" w:rsidRPr="00376D40">
        <w:rPr>
          <w:rFonts w:ascii="Arial" w:hAnsi="Arial" w:cs="Arial"/>
        </w:rPr>
        <w:t>However, l</w:t>
      </w:r>
      <w:r w:rsidR="004D1E15" w:rsidRPr="00376D40">
        <w:rPr>
          <w:rFonts w:ascii="Arial" w:hAnsi="Arial" w:cs="Arial"/>
        </w:rPr>
        <w:t xml:space="preserve">ast year, the relative </w:t>
      </w:r>
      <w:r w:rsidR="00BB5DB4" w:rsidRPr="00376D40">
        <w:rPr>
          <w:rFonts w:ascii="Arial" w:hAnsi="Arial" w:cs="Arial"/>
        </w:rPr>
        <w:t xml:space="preserve">likelihood of staff entering a formal disciplinary investigation </w:t>
      </w:r>
      <w:r w:rsidR="004D1E15" w:rsidRPr="00376D40">
        <w:rPr>
          <w:rFonts w:ascii="Arial" w:hAnsi="Arial" w:cs="Arial"/>
        </w:rPr>
        <w:t xml:space="preserve">was a ratio of 3, suggesting </w:t>
      </w:r>
      <w:r w:rsidR="00BB5DB4" w:rsidRPr="00376D40">
        <w:rPr>
          <w:rFonts w:ascii="Arial" w:hAnsi="Arial" w:cs="Arial"/>
        </w:rPr>
        <w:t>ethnically diverse</w:t>
      </w:r>
      <w:r w:rsidR="004D1E15" w:rsidRPr="00376D40">
        <w:rPr>
          <w:rFonts w:ascii="Arial" w:hAnsi="Arial" w:cs="Arial"/>
        </w:rPr>
        <w:t xml:space="preserve"> staff were </w:t>
      </w:r>
      <w:r w:rsidR="00BB5DB4" w:rsidRPr="00376D40">
        <w:rPr>
          <w:rFonts w:ascii="Arial" w:hAnsi="Arial" w:cs="Arial"/>
        </w:rPr>
        <w:t xml:space="preserve">significantly </w:t>
      </w:r>
      <w:r w:rsidR="004D1E15" w:rsidRPr="00376D40">
        <w:rPr>
          <w:rFonts w:ascii="Arial" w:hAnsi="Arial" w:cs="Arial"/>
        </w:rPr>
        <w:t xml:space="preserve">more likely to </w:t>
      </w:r>
      <w:r w:rsidR="009A746B" w:rsidRPr="00376D40">
        <w:rPr>
          <w:rFonts w:ascii="Arial" w:hAnsi="Arial" w:cs="Arial"/>
        </w:rPr>
        <w:t xml:space="preserve">enter a formal disciplinary </w:t>
      </w:r>
      <w:r w:rsidR="00D91BB0" w:rsidRPr="00376D40">
        <w:rPr>
          <w:rFonts w:ascii="Arial" w:hAnsi="Arial" w:cs="Arial"/>
        </w:rPr>
        <w:t>investigation</w:t>
      </w:r>
      <w:r w:rsidR="00CE2CFC" w:rsidRPr="00376D40">
        <w:rPr>
          <w:rFonts w:ascii="Arial" w:hAnsi="Arial" w:cs="Arial"/>
        </w:rPr>
        <w:t>. Again</w:t>
      </w:r>
      <w:r w:rsidR="00427390" w:rsidRPr="00376D40">
        <w:rPr>
          <w:rFonts w:ascii="Arial" w:hAnsi="Arial" w:cs="Arial"/>
        </w:rPr>
        <w:t>, last year's figures were statistically low, with 8 ethnically diverse staff compared to 20 White staff</w:t>
      </w:r>
      <w:r w:rsidR="004D1E15" w:rsidRPr="00376D40">
        <w:rPr>
          <w:rFonts w:ascii="Arial" w:hAnsi="Arial" w:cs="Arial"/>
        </w:rPr>
        <w:t xml:space="preserve">. </w:t>
      </w:r>
      <w:r w:rsidR="00F92A91" w:rsidRPr="00376D40">
        <w:rPr>
          <w:rFonts w:ascii="Arial" w:hAnsi="Arial" w:cs="Arial"/>
        </w:rPr>
        <w:t xml:space="preserve">This year's figure demonstrates an improvement but is still worse than the </w:t>
      </w:r>
      <w:r w:rsidR="00453D2C" w:rsidRPr="00376D40">
        <w:rPr>
          <w:rFonts w:ascii="Arial" w:hAnsi="Arial" w:cs="Arial"/>
        </w:rPr>
        <w:t>national figure, which compares</w:t>
      </w:r>
      <w:r w:rsidR="004D1E15" w:rsidRPr="00376D40">
        <w:rPr>
          <w:rFonts w:ascii="Arial" w:hAnsi="Arial" w:cs="Arial"/>
        </w:rPr>
        <w:t xml:space="preserve"> </w:t>
      </w:r>
      <w:r w:rsidR="00453D2C" w:rsidRPr="00376D40">
        <w:rPr>
          <w:rFonts w:ascii="Arial" w:hAnsi="Arial" w:cs="Arial"/>
        </w:rPr>
        <w:t xml:space="preserve">to </w:t>
      </w:r>
      <w:r w:rsidR="004D1E15" w:rsidRPr="00376D40">
        <w:rPr>
          <w:rFonts w:ascii="Arial" w:hAnsi="Arial" w:cs="Arial"/>
        </w:rPr>
        <w:t>1.</w:t>
      </w:r>
      <w:r w:rsidR="00522ED3" w:rsidRPr="00376D40">
        <w:rPr>
          <w:rFonts w:ascii="Arial" w:hAnsi="Arial" w:cs="Arial"/>
        </w:rPr>
        <w:t>03</w:t>
      </w:r>
      <w:r w:rsidR="004D1E15" w:rsidRPr="00376D40">
        <w:rPr>
          <w:rFonts w:ascii="Arial" w:hAnsi="Arial" w:cs="Arial"/>
        </w:rPr>
        <w:t>.</w:t>
      </w:r>
    </w:p>
    <w:p w14:paraId="5554E4B3" w14:textId="17A743C6" w:rsidR="00423CD5" w:rsidRPr="009177CB" w:rsidRDefault="00D91BB0" w:rsidP="002412B6">
      <w:pPr>
        <w:pStyle w:val="ListParagraph"/>
        <w:numPr>
          <w:ilvl w:val="0"/>
          <w:numId w:val="7"/>
        </w:numPr>
        <w:spacing w:before="100" w:beforeAutospacing="1" w:after="100" w:afterAutospacing="1" w:line="360" w:lineRule="auto"/>
        <w:textAlignment w:val="baseline"/>
        <w:outlineLvl w:val="1"/>
        <w:rPr>
          <w:rFonts w:ascii="Arial" w:hAnsi="Arial" w:cs="Arial"/>
        </w:rPr>
      </w:pPr>
      <w:r w:rsidRPr="009177CB">
        <w:rPr>
          <w:rFonts w:ascii="Arial" w:eastAsia="Times New Roman" w:hAnsi="Arial" w:cs="Arial"/>
          <w:lang w:eastAsia="en-GB"/>
        </w:rPr>
        <w:t>For WRES indicator 4</w:t>
      </w:r>
      <w:r w:rsidR="00376D40" w:rsidRPr="009177CB">
        <w:rPr>
          <w:rFonts w:ascii="Arial" w:eastAsia="Times New Roman" w:hAnsi="Arial" w:cs="Arial"/>
          <w:lang w:eastAsia="en-GB"/>
        </w:rPr>
        <w:t xml:space="preserve">, </w:t>
      </w:r>
      <w:r w:rsidR="009177CB" w:rsidRPr="009177CB">
        <w:rPr>
          <w:rFonts w:ascii="Arial" w:hAnsi="Arial" w:cs="Arial"/>
        </w:rPr>
        <w:t>a</w:t>
      </w:r>
      <w:r w:rsidR="0040359D" w:rsidRPr="009177CB">
        <w:rPr>
          <w:rFonts w:ascii="Arial" w:hAnsi="Arial" w:cs="Arial"/>
        </w:rPr>
        <w:t xml:space="preserve">s it was last year, this </w:t>
      </w:r>
      <w:r w:rsidR="00C85EF8" w:rsidRPr="009177CB">
        <w:rPr>
          <w:rFonts w:ascii="Arial" w:hAnsi="Arial" w:cs="Arial"/>
        </w:rPr>
        <w:t>year's ratio is 1, reflecting equality between ethnically diverse and White staff accessing non-mandatory training and CPD. Nationally, the comparison figure is 1.12.</w:t>
      </w:r>
    </w:p>
    <w:p w14:paraId="1C158B19" w14:textId="77777777" w:rsidR="009177CB" w:rsidRDefault="006D4C1B" w:rsidP="002412B6">
      <w:pPr>
        <w:pStyle w:val="ListParagraph"/>
        <w:numPr>
          <w:ilvl w:val="0"/>
          <w:numId w:val="7"/>
        </w:numPr>
        <w:spacing w:before="100" w:beforeAutospacing="1" w:after="100" w:afterAutospacing="1" w:line="360" w:lineRule="auto"/>
        <w:textAlignment w:val="baseline"/>
        <w:outlineLvl w:val="1"/>
        <w:rPr>
          <w:rFonts w:ascii="Arial" w:eastAsia="Times New Roman" w:hAnsi="Arial" w:cs="Arial"/>
          <w:lang w:eastAsia="en-GB"/>
        </w:rPr>
      </w:pPr>
      <w:r w:rsidRPr="009177CB">
        <w:rPr>
          <w:rFonts w:ascii="Arial" w:eastAsia="Times New Roman" w:hAnsi="Arial" w:cs="Arial"/>
          <w:lang w:eastAsia="en-GB"/>
        </w:rPr>
        <w:t xml:space="preserve">For </w:t>
      </w:r>
      <w:r w:rsidR="006C19F0" w:rsidRPr="009177CB">
        <w:rPr>
          <w:rFonts w:ascii="Arial" w:eastAsia="Times New Roman" w:hAnsi="Arial" w:cs="Arial"/>
          <w:lang w:eastAsia="en-GB"/>
        </w:rPr>
        <w:t>WRES indicator 5</w:t>
      </w:r>
      <w:r w:rsidR="009177CB" w:rsidRPr="009177CB">
        <w:rPr>
          <w:rFonts w:ascii="Arial" w:eastAsia="Times New Roman" w:hAnsi="Arial" w:cs="Arial"/>
          <w:lang w:eastAsia="en-GB"/>
        </w:rPr>
        <w:t>, t</w:t>
      </w:r>
      <w:r w:rsidR="000932AB" w:rsidRPr="009177CB">
        <w:rPr>
          <w:rFonts w:ascii="Arial" w:eastAsia="Times New Roman" w:hAnsi="Arial" w:cs="Arial"/>
          <w:lang w:eastAsia="en-GB"/>
        </w:rPr>
        <w:t>he Trust figures indicate that 33.55% of ethnically diverse staff have experienced harassment, bullying, or abuse from patients, relatives, or the public in the last 12 months. This is just 1.91% higher than the national figure of 31.64%. However, 33.55% represents a 3.83% improvement over the previous year's figure of 37.37%.</w:t>
      </w:r>
      <w:r w:rsidR="009177CB">
        <w:rPr>
          <w:rFonts w:ascii="Arial" w:eastAsia="Times New Roman" w:hAnsi="Arial" w:cs="Arial"/>
          <w:lang w:eastAsia="en-GB"/>
        </w:rPr>
        <w:t xml:space="preserve"> </w:t>
      </w:r>
      <w:r w:rsidR="000932AB" w:rsidRPr="009177CB">
        <w:rPr>
          <w:rFonts w:ascii="Arial" w:eastAsia="Times New Roman" w:hAnsi="Arial" w:cs="Arial"/>
          <w:lang w:eastAsia="en-GB"/>
        </w:rPr>
        <w:t xml:space="preserve">The figure for White staff in the Trust stands at 18.59%, which is </w:t>
      </w:r>
      <w:r w:rsidR="000932AB" w:rsidRPr="009177CB">
        <w:rPr>
          <w:rFonts w:ascii="Arial" w:eastAsia="Times New Roman" w:hAnsi="Arial" w:cs="Arial"/>
          <w:lang w:eastAsia="en-GB"/>
        </w:rPr>
        <w:lastRenderedPageBreak/>
        <w:t>2.7% better than the national figure of 21.29%. We have observed an improvement in the number of ethnically diverse staff completing the NSS, increasing from 50 in 2020 to 152 in 2024.</w:t>
      </w:r>
    </w:p>
    <w:p w14:paraId="52C92EA3" w14:textId="77777777" w:rsidR="009177CB" w:rsidRDefault="004402E7" w:rsidP="002412B6">
      <w:pPr>
        <w:pStyle w:val="ListParagraph"/>
        <w:numPr>
          <w:ilvl w:val="0"/>
          <w:numId w:val="7"/>
        </w:numPr>
        <w:spacing w:before="100" w:beforeAutospacing="1" w:after="100" w:afterAutospacing="1" w:line="360" w:lineRule="auto"/>
        <w:textAlignment w:val="baseline"/>
        <w:outlineLvl w:val="1"/>
        <w:rPr>
          <w:rFonts w:ascii="Arial" w:eastAsia="Times New Roman" w:hAnsi="Arial" w:cs="Arial"/>
          <w:lang w:eastAsia="en-GB"/>
        </w:rPr>
      </w:pPr>
      <w:r w:rsidRPr="009177CB">
        <w:rPr>
          <w:rFonts w:ascii="Arial" w:eastAsia="Times New Roman" w:hAnsi="Arial" w:cs="Arial"/>
          <w:lang w:eastAsia="en-GB"/>
        </w:rPr>
        <w:t>For WRES indicator 6</w:t>
      </w:r>
      <w:r w:rsidR="009177CB" w:rsidRPr="009177CB">
        <w:rPr>
          <w:rFonts w:ascii="Arial" w:eastAsia="Times New Roman" w:hAnsi="Arial" w:cs="Arial"/>
          <w:lang w:eastAsia="en-GB"/>
        </w:rPr>
        <w:t>, t</w:t>
      </w:r>
      <w:r w:rsidR="00A5356B" w:rsidRPr="009177CB">
        <w:rPr>
          <w:rFonts w:ascii="Arial" w:eastAsia="Times New Roman" w:hAnsi="Arial" w:cs="Arial"/>
          <w:lang w:eastAsia="en-GB"/>
        </w:rPr>
        <w:t xml:space="preserve">he Trust figures indicate that 17.22% of ethnically diverse staff experienced harassment, bullying, or abuse from colleagues in the past 12 months. This represents a 4% </w:t>
      </w:r>
      <w:r w:rsidR="006F3DB0" w:rsidRPr="009177CB">
        <w:rPr>
          <w:rFonts w:ascii="Arial" w:eastAsia="Times New Roman" w:hAnsi="Arial" w:cs="Arial"/>
          <w:lang w:eastAsia="en-GB"/>
        </w:rPr>
        <w:t>improvement</w:t>
      </w:r>
      <w:r w:rsidR="00A5356B" w:rsidRPr="009177CB">
        <w:rPr>
          <w:rFonts w:ascii="Arial" w:eastAsia="Times New Roman" w:hAnsi="Arial" w:cs="Arial"/>
          <w:lang w:eastAsia="en-GB"/>
        </w:rPr>
        <w:t xml:space="preserve"> compared to the national figure of 21.23%. However, 17.22% reflects a 3.4% improvement over the previous year's figure of 20.62%, continuing year-on-year progress since 2020, when the figure was 24.00%. For White staff in the Trust, the figure stands at 16.23%, 0.25% lower than the national figure of 16.48%.</w:t>
      </w:r>
    </w:p>
    <w:p w14:paraId="1EE7B0B8" w14:textId="77777777" w:rsidR="009177CB" w:rsidRDefault="00DE32D3" w:rsidP="002412B6">
      <w:pPr>
        <w:pStyle w:val="ListParagraph"/>
        <w:numPr>
          <w:ilvl w:val="0"/>
          <w:numId w:val="7"/>
        </w:numPr>
        <w:spacing w:before="100" w:beforeAutospacing="1" w:after="100" w:afterAutospacing="1" w:line="360" w:lineRule="auto"/>
        <w:textAlignment w:val="baseline"/>
        <w:outlineLvl w:val="1"/>
        <w:rPr>
          <w:rFonts w:ascii="Arial" w:eastAsia="Times New Roman" w:hAnsi="Arial" w:cs="Arial"/>
          <w:lang w:eastAsia="en-GB"/>
        </w:rPr>
      </w:pPr>
      <w:r w:rsidRPr="009177CB">
        <w:rPr>
          <w:rFonts w:ascii="Arial" w:eastAsia="Times New Roman" w:hAnsi="Arial" w:cs="Arial"/>
          <w:lang w:eastAsia="en-GB"/>
        </w:rPr>
        <w:t>For WRES indicator 7</w:t>
      </w:r>
      <w:r w:rsidR="009177CB" w:rsidRPr="009177CB">
        <w:rPr>
          <w:rFonts w:ascii="Arial" w:eastAsia="Times New Roman" w:hAnsi="Arial" w:cs="Arial"/>
          <w:lang w:eastAsia="en-GB"/>
        </w:rPr>
        <w:t>, t</w:t>
      </w:r>
      <w:r w:rsidR="00641B9C" w:rsidRPr="009177CB">
        <w:rPr>
          <w:rFonts w:ascii="Arial" w:eastAsia="Times New Roman" w:hAnsi="Arial" w:cs="Arial"/>
          <w:lang w:eastAsia="en-GB"/>
        </w:rPr>
        <w:t>he Trust figures indicate that 56.29% of ethnically diverse staff feel that the organisation offers equal opportunities for career advancement or promotion. This is 5.24% higher than the national figure of 51.05%. Notably, 56.29% marks a 6.29% increase from the previous year's figure of 50% and reflects a year-on-year improvement since 2020, when the figure was 41.67%. This represents a meaningful narrowing of the gap between ethnically diverse and White staff and is the closest the figure has been to that of White colleagues (66.33%) since 2020.</w:t>
      </w:r>
    </w:p>
    <w:p w14:paraId="7E72E8BB" w14:textId="77777777" w:rsidR="009177CB" w:rsidRDefault="000C1296" w:rsidP="002412B6">
      <w:pPr>
        <w:pStyle w:val="ListParagraph"/>
        <w:numPr>
          <w:ilvl w:val="0"/>
          <w:numId w:val="7"/>
        </w:numPr>
        <w:spacing w:before="100" w:beforeAutospacing="1" w:after="100" w:afterAutospacing="1" w:line="360" w:lineRule="auto"/>
        <w:textAlignment w:val="baseline"/>
        <w:outlineLvl w:val="1"/>
        <w:rPr>
          <w:rFonts w:ascii="Arial" w:eastAsia="Times New Roman" w:hAnsi="Arial" w:cs="Arial"/>
          <w:lang w:eastAsia="en-GB"/>
        </w:rPr>
      </w:pPr>
      <w:r w:rsidRPr="009177CB">
        <w:rPr>
          <w:rFonts w:ascii="Arial" w:eastAsia="Times New Roman" w:hAnsi="Arial" w:cs="Arial"/>
          <w:lang w:eastAsia="en-GB"/>
        </w:rPr>
        <w:t>For WRES indicator 8</w:t>
      </w:r>
      <w:r w:rsidR="009177CB" w:rsidRPr="009177CB">
        <w:rPr>
          <w:rFonts w:ascii="Arial" w:eastAsia="Times New Roman" w:hAnsi="Arial" w:cs="Arial"/>
          <w:lang w:eastAsia="en-GB"/>
        </w:rPr>
        <w:t xml:space="preserve">, </w:t>
      </w:r>
      <w:r w:rsidR="009177CB">
        <w:rPr>
          <w:rFonts w:ascii="Arial" w:eastAsia="Times New Roman" w:hAnsi="Arial" w:cs="Arial"/>
          <w:lang w:eastAsia="en-GB"/>
        </w:rPr>
        <w:t>t</w:t>
      </w:r>
      <w:r w:rsidR="00BB2108" w:rsidRPr="009177CB">
        <w:rPr>
          <w:rFonts w:ascii="Arial" w:eastAsia="Times New Roman" w:hAnsi="Arial" w:cs="Arial"/>
          <w:lang w:eastAsia="en-GB"/>
        </w:rPr>
        <w:t>he Trust figures indicate that 11.49</w:t>
      </w:r>
      <w:r w:rsidR="004C23D3" w:rsidRPr="009177CB">
        <w:rPr>
          <w:rFonts w:ascii="Arial" w:eastAsia="Times New Roman" w:hAnsi="Arial" w:cs="Arial"/>
          <w:lang w:eastAsia="en-GB"/>
        </w:rPr>
        <w:t>% of</w:t>
      </w:r>
      <w:r w:rsidR="00BB2108" w:rsidRPr="009177CB">
        <w:rPr>
          <w:rFonts w:ascii="Arial" w:eastAsia="Times New Roman" w:hAnsi="Arial" w:cs="Arial"/>
          <w:lang w:eastAsia="en-GB"/>
        </w:rPr>
        <w:t xml:space="preserve"> ethnically diverse staff have experienced discrimination from their manager, team leader, or colleagues in the last 12 months. This figure is 1.74% lower than the national average of 13.23%. Notably, 11.49% represents a 4.67% improvement compared to </w:t>
      </w:r>
      <w:r w:rsidR="004C23D3" w:rsidRPr="009177CB">
        <w:rPr>
          <w:rFonts w:ascii="Arial" w:eastAsia="Times New Roman" w:hAnsi="Arial" w:cs="Arial"/>
          <w:lang w:eastAsia="en-GB"/>
        </w:rPr>
        <w:t>the previous</w:t>
      </w:r>
      <w:r w:rsidR="00BB2108" w:rsidRPr="009177CB">
        <w:rPr>
          <w:rFonts w:ascii="Arial" w:eastAsia="Times New Roman" w:hAnsi="Arial" w:cs="Arial"/>
          <w:lang w:eastAsia="en-GB"/>
        </w:rPr>
        <w:t xml:space="preserve"> year's figure of 16.16% and shows year-on-year progress since 2020, when the figure was 18.37%. This marks a significant narrowing of the gap between ethnically diverse and White staff and is the closest the figure has been to that of White colleagues (5.21%) since 2020.</w:t>
      </w:r>
    </w:p>
    <w:p w14:paraId="61091C63" w14:textId="4FC92B60" w:rsidR="00464022" w:rsidRPr="009177CB" w:rsidRDefault="00992A98" w:rsidP="002412B6">
      <w:pPr>
        <w:pStyle w:val="ListParagraph"/>
        <w:numPr>
          <w:ilvl w:val="0"/>
          <w:numId w:val="7"/>
        </w:numPr>
        <w:spacing w:before="100" w:beforeAutospacing="1" w:after="100" w:afterAutospacing="1" w:line="360" w:lineRule="auto"/>
        <w:textAlignment w:val="baseline"/>
        <w:outlineLvl w:val="1"/>
        <w:rPr>
          <w:rFonts w:ascii="Arial" w:eastAsia="Times New Roman" w:hAnsi="Arial" w:cs="Arial"/>
          <w:lang w:eastAsia="en-GB"/>
        </w:rPr>
      </w:pPr>
      <w:r w:rsidRPr="009177CB">
        <w:rPr>
          <w:rFonts w:ascii="Arial" w:eastAsia="Times New Roman" w:hAnsi="Arial" w:cs="Arial"/>
          <w:lang w:eastAsia="en-GB"/>
        </w:rPr>
        <w:t>For WRES indicator 9</w:t>
      </w:r>
      <w:r w:rsidR="009177CB" w:rsidRPr="009177CB">
        <w:rPr>
          <w:rFonts w:ascii="Arial" w:eastAsia="Times New Roman" w:hAnsi="Arial" w:cs="Arial"/>
          <w:lang w:eastAsia="en-GB"/>
        </w:rPr>
        <w:t xml:space="preserve">, </w:t>
      </w:r>
      <w:r w:rsidR="009177CB" w:rsidRPr="009177CB">
        <w:rPr>
          <w:rFonts w:ascii="Arial" w:hAnsi="Arial" w:cs="Arial"/>
        </w:rPr>
        <w:t>d</w:t>
      </w:r>
      <w:r w:rsidR="003F1D8D" w:rsidRPr="009177CB">
        <w:rPr>
          <w:rFonts w:ascii="Arial" w:hAnsi="Arial" w:cs="Arial"/>
        </w:rPr>
        <w:t xml:space="preserve">iverse representation on the Trust Board (voting membership) is at 11.1%, surpassing our workforce and local demographic representation. </w:t>
      </w:r>
      <w:r w:rsidR="00284D4A" w:rsidRPr="00284D4A">
        <w:rPr>
          <w:rFonts w:ascii="Arial" w:hAnsi="Arial" w:cs="Arial"/>
        </w:rPr>
        <w:t>Nationally, 15.6% of board members recorded their ethnicity as BME, compared to 26.4% of staff in NHS trusts. </w:t>
      </w:r>
    </w:p>
    <w:p w14:paraId="4287C770" w14:textId="1A5E01C3" w:rsidR="00A459A7" w:rsidRPr="00C47667" w:rsidRDefault="00C47667" w:rsidP="00C47667">
      <w:pPr>
        <w:pBdr>
          <w:bottom w:val="single" w:sz="4" w:space="1" w:color="auto"/>
        </w:pBdr>
        <w:autoSpaceDE w:val="0"/>
        <w:autoSpaceDN w:val="0"/>
        <w:adjustRightInd w:val="0"/>
        <w:spacing w:before="100" w:beforeAutospacing="1" w:after="100" w:afterAutospacing="1" w:line="360" w:lineRule="auto"/>
        <w:rPr>
          <w:rFonts w:ascii="Arial" w:hAnsi="Arial" w:cs="Arial"/>
          <w:b/>
          <w:bCs/>
          <w:color w:val="2F5496" w:themeColor="accent1" w:themeShade="BF"/>
          <w:sz w:val="24"/>
          <w:szCs w:val="24"/>
        </w:rPr>
      </w:pPr>
      <w:r>
        <w:rPr>
          <w:rFonts w:ascii="Arial" w:hAnsi="Arial" w:cs="Arial"/>
          <w:b/>
          <w:bCs/>
          <w:color w:val="2F5496" w:themeColor="accent1" w:themeShade="BF"/>
          <w:sz w:val="24"/>
          <w:szCs w:val="24"/>
        </w:rPr>
        <w:t xml:space="preserve">4. </w:t>
      </w:r>
      <w:r w:rsidR="002412B6" w:rsidRPr="00C47667">
        <w:rPr>
          <w:rFonts w:ascii="Arial" w:hAnsi="Arial" w:cs="Arial"/>
          <w:b/>
          <w:bCs/>
          <w:color w:val="2F5496" w:themeColor="accent1" w:themeShade="BF"/>
          <w:sz w:val="24"/>
          <w:szCs w:val="24"/>
        </w:rPr>
        <w:t xml:space="preserve">Our </w:t>
      </w:r>
      <w:r w:rsidR="00692036" w:rsidRPr="00C47667">
        <w:rPr>
          <w:rFonts w:ascii="Arial" w:hAnsi="Arial" w:cs="Arial"/>
          <w:b/>
          <w:bCs/>
          <w:color w:val="2F5496" w:themeColor="accent1" w:themeShade="BF"/>
          <w:sz w:val="24"/>
          <w:szCs w:val="24"/>
        </w:rPr>
        <w:t>Race Equity Work Over the Past 12 Months</w:t>
      </w:r>
    </w:p>
    <w:p w14:paraId="72E6381C" w14:textId="70964F50" w:rsidR="00F561FD" w:rsidRPr="00C57C8D" w:rsidRDefault="00F561FD" w:rsidP="002412B6">
      <w:pPr>
        <w:spacing w:before="100" w:beforeAutospacing="1" w:after="100" w:afterAutospacing="1" w:line="360" w:lineRule="auto"/>
        <w:rPr>
          <w:rFonts w:ascii="Arial" w:hAnsi="Arial" w:cs="Arial"/>
          <w:b/>
          <w:bCs/>
        </w:rPr>
      </w:pPr>
      <w:r w:rsidRPr="00C57C8D">
        <w:rPr>
          <w:rFonts w:ascii="Arial" w:hAnsi="Arial" w:cs="Arial"/>
          <w:b/>
          <w:bCs/>
        </w:rPr>
        <w:t xml:space="preserve">Respect </w:t>
      </w:r>
      <w:r w:rsidR="00867B16" w:rsidRPr="00C57C8D">
        <w:rPr>
          <w:rFonts w:ascii="Arial" w:hAnsi="Arial" w:cs="Arial"/>
          <w:b/>
          <w:bCs/>
        </w:rPr>
        <w:t xml:space="preserve">- </w:t>
      </w:r>
      <w:r w:rsidRPr="00C57C8D">
        <w:rPr>
          <w:rFonts w:ascii="Arial" w:hAnsi="Arial" w:cs="Arial"/>
        </w:rPr>
        <w:t xml:space="preserve">The objective for the original respect campaign – launched in November 2023 - was in response to anecdotal feedback from our staff networks, with the key aim of driving up the reporting of bullying and harassment between staff. This has subsequently become business as usual in reporting. Our </w:t>
      </w:r>
      <w:r w:rsidR="00FF004A">
        <w:rPr>
          <w:rFonts w:ascii="Arial" w:hAnsi="Arial" w:cs="Arial"/>
        </w:rPr>
        <w:t>2024</w:t>
      </w:r>
      <w:r w:rsidRPr="00C57C8D">
        <w:rPr>
          <w:rFonts w:ascii="Arial" w:hAnsi="Arial" w:cs="Arial"/>
        </w:rPr>
        <w:t xml:space="preserve"> survey results show that the most statistically significant improvement (6.89%) is for the question ‘the last time I or a colleague received </w:t>
      </w:r>
      <w:r w:rsidRPr="00C57C8D">
        <w:rPr>
          <w:rFonts w:ascii="Arial" w:hAnsi="Arial" w:cs="Arial"/>
        </w:rPr>
        <w:lastRenderedPageBreak/>
        <w:t xml:space="preserve">bullying, harassment or discrimination, I or a colleague reported it’. As such, we can see the impact of our work on Respect in the staff survey, where we have addressed under-reporting and driven up the reporting of these incidents.  </w:t>
      </w:r>
    </w:p>
    <w:p w14:paraId="72085013" w14:textId="5CC8D24A" w:rsidR="00F561FD" w:rsidRPr="00C57C8D" w:rsidRDefault="00F561FD" w:rsidP="002412B6">
      <w:pPr>
        <w:spacing w:before="100" w:beforeAutospacing="1" w:after="100" w:afterAutospacing="1" w:line="360" w:lineRule="auto"/>
        <w:rPr>
          <w:rFonts w:ascii="Arial" w:hAnsi="Arial" w:cs="Arial"/>
          <w:b/>
          <w:bCs/>
        </w:rPr>
      </w:pPr>
      <w:r w:rsidRPr="00C57C8D">
        <w:rPr>
          <w:rFonts w:ascii="Arial" w:hAnsi="Arial" w:cs="Arial"/>
          <w:b/>
          <w:bCs/>
        </w:rPr>
        <w:t>No Excuse for Abuse</w:t>
      </w:r>
      <w:r w:rsidR="00B6772E">
        <w:rPr>
          <w:rFonts w:ascii="Arial" w:hAnsi="Arial" w:cs="Arial"/>
        </w:rPr>
        <w:t xml:space="preserve"> - </w:t>
      </w:r>
      <w:r w:rsidR="00B6772E" w:rsidRPr="00B6772E">
        <w:rPr>
          <w:rFonts w:ascii="Arial" w:hAnsi="Arial" w:cs="Arial"/>
        </w:rPr>
        <w:t>In December 2024, the Trust launched the No Excuse for Abuse Framework toolkit. This was widely consulted with stakeholders and designed to support managers and staff when subjected to abuse by service users in their care. Since its launch, the toolkit has been</w:t>
      </w:r>
      <w:r w:rsidR="001C61ED" w:rsidRPr="00B6772E">
        <w:rPr>
          <w:rFonts w:ascii="Arial" w:hAnsi="Arial" w:cs="Arial"/>
        </w:rPr>
        <w:t xml:space="preserve"> </w:t>
      </w:r>
      <w:r w:rsidR="001C61ED" w:rsidRPr="00C57C8D">
        <w:rPr>
          <w:rFonts w:ascii="Arial" w:hAnsi="Arial" w:cs="Arial"/>
        </w:rPr>
        <w:t xml:space="preserve">recognised as QI Charter of the Month in December 2024 and subsequently reviewed and endorsed by UNISON, who found it </w:t>
      </w:r>
      <w:r w:rsidRPr="00C57C8D">
        <w:rPr>
          <w:rFonts w:ascii="Arial" w:hAnsi="Arial" w:cs="Arial"/>
        </w:rPr>
        <w:t xml:space="preserve">comprehensive and proactive. We are adding their logo to associated posters and documentation. </w:t>
      </w:r>
    </w:p>
    <w:p w14:paraId="20E0703A" w14:textId="3509691B" w:rsidR="00F561FD" w:rsidRPr="00C57C8D" w:rsidRDefault="00F561FD" w:rsidP="002412B6">
      <w:pPr>
        <w:spacing w:before="100" w:beforeAutospacing="1" w:after="100" w:afterAutospacing="1" w:line="360" w:lineRule="auto"/>
        <w:rPr>
          <w:rFonts w:ascii="Arial" w:hAnsi="Arial" w:cs="Arial"/>
          <w:b/>
          <w:bCs/>
        </w:rPr>
      </w:pPr>
      <w:r w:rsidRPr="00C57C8D">
        <w:rPr>
          <w:rFonts w:ascii="Arial" w:hAnsi="Arial" w:cs="Arial"/>
          <w:b/>
          <w:bCs/>
        </w:rPr>
        <w:t>NHS England EDI Improvement Plan</w:t>
      </w:r>
      <w:r w:rsidR="00867B16" w:rsidRPr="00C57C8D">
        <w:rPr>
          <w:rFonts w:ascii="Arial" w:hAnsi="Arial" w:cs="Arial"/>
          <w:b/>
          <w:bCs/>
        </w:rPr>
        <w:t xml:space="preserve"> - </w:t>
      </w:r>
      <w:r w:rsidRPr="00C57C8D">
        <w:rPr>
          <w:rFonts w:ascii="Arial" w:hAnsi="Arial" w:cs="Arial"/>
        </w:rPr>
        <w:t xml:space="preserve">The Trust Board implemented the requirements of the six high-level NHSE EDI Improvement Plan actions. Actions to address the high impact were agreed upon through a Board development day and associated EMT papers. This is demonstrated by all board members having EDI objectives in their annual appraisals. Implementing an Ethnicity Pay Gap analysis. Further embedding and operationalising the Respect and No Excuse for Abuse frameworks to address bullying, harassment, and discrimination. </w:t>
      </w:r>
      <w:r w:rsidRPr="00C57C8D">
        <w:rPr>
          <w:rFonts w:ascii="Arial" w:hAnsi="Arial" w:cs="Arial"/>
          <w:bCs/>
        </w:rPr>
        <w:t>Regular assurance is provided to EMT and the Board through a biannual EDI Assurance report, which identifies progress made on the improvement plan.</w:t>
      </w:r>
    </w:p>
    <w:p w14:paraId="5D3E1824" w14:textId="77777777" w:rsidR="00F561FD" w:rsidRPr="00C57C8D" w:rsidRDefault="00F561FD" w:rsidP="002412B6">
      <w:pPr>
        <w:spacing w:before="100" w:beforeAutospacing="1" w:after="100" w:afterAutospacing="1" w:line="360" w:lineRule="auto"/>
        <w:rPr>
          <w:rFonts w:ascii="Arial" w:hAnsi="Arial" w:cs="Arial"/>
        </w:rPr>
      </w:pPr>
      <w:r w:rsidRPr="00C57C8D">
        <w:rPr>
          <w:rFonts w:ascii="Arial" w:hAnsi="Arial" w:cs="Arial"/>
        </w:rPr>
        <w:t xml:space="preserve">Following on from an EDI Roundtable led by NHS Providers that examined experiences of implementing the improvement plan, the EDI Policy Development Principal Lead from NHS England has undertaken a Best Practice Interview with the Trust's EDI </w:t>
      </w:r>
      <w:proofErr w:type="gramStart"/>
      <w:r w:rsidRPr="00C57C8D">
        <w:rPr>
          <w:rFonts w:ascii="Arial" w:hAnsi="Arial" w:cs="Arial"/>
        </w:rPr>
        <w:t>Lead</w:t>
      </w:r>
      <w:proofErr w:type="gramEnd"/>
      <w:r w:rsidRPr="00C57C8D">
        <w:rPr>
          <w:rFonts w:ascii="Arial" w:hAnsi="Arial" w:cs="Arial"/>
        </w:rPr>
        <w:t xml:space="preserve"> to develop an EDI Best Practice Case Study regarding our approach to implementing the NHSE EDI Improvement Plan.</w:t>
      </w:r>
    </w:p>
    <w:p w14:paraId="05F8C756" w14:textId="739839CE" w:rsidR="00280735" w:rsidRPr="00A64DD1" w:rsidRDefault="004D7730" w:rsidP="002412B6">
      <w:pPr>
        <w:spacing w:before="100" w:beforeAutospacing="1" w:after="100" w:afterAutospacing="1" w:line="360" w:lineRule="auto"/>
        <w:contextualSpacing/>
        <w:rPr>
          <w:rFonts w:ascii="Arial" w:hAnsi="Arial" w:cs="Arial"/>
          <w:b/>
          <w:bCs/>
        </w:rPr>
      </w:pPr>
      <w:r w:rsidRPr="00C57C8D">
        <w:rPr>
          <w:rFonts w:ascii="Arial" w:hAnsi="Arial" w:cs="Arial"/>
          <w:b/>
          <w:bCs/>
        </w:rPr>
        <w:t>Changes in staff composition</w:t>
      </w:r>
      <w:r w:rsidR="00867B16" w:rsidRPr="00C57C8D">
        <w:rPr>
          <w:rFonts w:ascii="Arial" w:hAnsi="Arial" w:cs="Arial"/>
          <w:b/>
          <w:bCs/>
        </w:rPr>
        <w:t xml:space="preserve"> - </w:t>
      </w:r>
      <w:r w:rsidR="00FB769E" w:rsidRPr="00C57C8D">
        <w:rPr>
          <w:rFonts w:ascii="Arial" w:hAnsi="Arial" w:cs="Arial"/>
        </w:rPr>
        <w:t xml:space="preserve">Through EDI workstreams, including a deep dive analysis of recruitment by area through an EDI lens and initiatives aimed at reducing ‘unspecified’ entries in equality data within ESR, the Trust has </w:t>
      </w:r>
      <w:r w:rsidR="004B3409" w:rsidRPr="00C57C8D">
        <w:rPr>
          <w:rFonts w:ascii="Arial" w:hAnsi="Arial" w:cs="Arial"/>
        </w:rPr>
        <w:t>seen</w:t>
      </w:r>
      <w:r w:rsidR="00FB769E" w:rsidRPr="00C57C8D">
        <w:rPr>
          <w:rFonts w:ascii="Arial" w:hAnsi="Arial" w:cs="Arial"/>
        </w:rPr>
        <w:t xml:space="preserve"> </w:t>
      </w:r>
      <w:r w:rsidR="004B3409" w:rsidRPr="00C57C8D">
        <w:rPr>
          <w:rFonts w:ascii="Arial" w:hAnsi="Arial" w:cs="Arial"/>
        </w:rPr>
        <w:t xml:space="preserve">a </w:t>
      </w:r>
      <w:r w:rsidR="00FB769E" w:rsidRPr="00C57C8D">
        <w:rPr>
          <w:rFonts w:ascii="Arial" w:hAnsi="Arial" w:cs="Arial"/>
        </w:rPr>
        <w:t>year-on-year improvement in workforce representation. Ethnically diverse representation increased from 3.5% in 2019 to 8.99% in March 2025.</w:t>
      </w:r>
      <w:r w:rsidR="00280735">
        <w:rPr>
          <w:rFonts w:ascii="Arial" w:hAnsi="Arial" w:cs="Arial"/>
          <w:b/>
          <w:bCs/>
        </w:rPr>
        <w:t xml:space="preserve"> </w:t>
      </w:r>
      <w:r w:rsidR="006452A3" w:rsidRPr="00C57C8D">
        <w:rPr>
          <w:rFonts w:ascii="Arial" w:hAnsi="Arial" w:cs="Arial"/>
        </w:rPr>
        <w:t xml:space="preserve">Furthermore, our previous analysis of WRES data identified barriers to the representation of ethnically diverse staff in clinical and non-clinical roles at Band 7 and above. Over the past 12 months, we have seen a 14% improvement in </w:t>
      </w:r>
      <w:r w:rsidR="003C22EF">
        <w:rPr>
          <w:rFonts w:ascii="Arial" w:hAnsi="Arial" w:cs="Arial"/>
        </w:rPr>
        <w:t>this representation</w:t>
      </w:r>
      <w:r w:rsidR="006452A3" w:rsidRPr="00C57C8D">
        <w:rPr>
          <w:rFonts w:ascii="Arial" w:hAnsi="Arial" w:cs="Arial"/>
        </w:rPr>
        <w:t>.</w:t>
      </w:r>
      <w:r w:rsidR="00867B16" w:rsidRPr="00C57C8D">
        <w:rPr>
          <w:rFonts w:ascii="Arial" w:hAnsi="Arial" w:cs="Arial"/>
        </w:rPr>
        <w:t xml:space="preserve"> </w:t>
      </w:r>
      <w:r w:rsidR="00A64DD1">
        <w:rPr>
          <w:rFonts w:ascii="Arial" w:hAnsi="Arial" w:cs="Arial"/>
          <w:b/>
          <w:bCs/>
        </w:rPr>
        <w:br/>
      </w:r>
    </w:p>
    <w:p w14:paraId="47EBB36E" w14:textId="613694D6" w:rsidR="00C310FF" w:rsidRPr="00C57C8D" w:rsidRDefault="0066206A" w:rsidP="002412B6">
      <w:pPr>
        <w:spacing w:before="100" w:beforeAutospacing="1" w:after="100" w:afterAutospacing="1" w:line="360" w:lineRule="auto"/>
        <w:rPr>
          <w:rFonts w:ascii="Arial" w:hAnsi="Arial" w:cs="Arial"/>
        </w:rPr>
      </w:pPr>
      <w:r w:rsidRPr="0066206A">
        <w:rPr>
          <w:rFonts w:ascii="Arial" w:hAnsi="Arial" w:cs="Arial"/>
          <w:b/>
          <w:bCs/>
          <w:lang w:val="en-US"/>
        </w:rPr>
        <w:t>Race Equity </w:t>
      </w:r>
      <w:r w:rsidR="00CA146A" w:rsidRPr="00C57C8D">
        <w:rPr>
          <w:rFonts w:ascii="Arial" w:hAnsi="Arial" w:cs="Arial"/>
          <w:b/>
          <w:bCs/>
          <w:lang w:val="en-US"/>
        </w:rPr>
        <w:t>T</w:t>
      </w:r>
      <w:r w:rsidRPr="0066206A">
        <w:rPr>
          <w:rFonts w:ascii="Arial" w:hAnsi="Arial" w:cs="Arial"/>
          <w:b/>
          <w:bCs/>
          <w:lang w:val="en-US"/>
        </w:rPr>
        <w:t>raining</w:t>
      </w:r>
      <w:r w:rsidR="00867B16" w:rsidRPr="00C57C8D">
        <w:rPr>
          <w:rFonts w:ascii="Arial" w:hAnsi="Arial" w:cs="Arial"/>
          <w:b/>
          <w:bCs/>
          <w:lang w:val="en-US"/>
        </w:rPr>
        <w:t xml:space="preserve"> - </w:t>
      </w:r>
      <w:r w:rsidR="002F5EFE" w:rsidRPr="00C57C8D">
        <w:rPr>
          <w:rFonts w:ascii="Arial" w:hAnsi="Arial" w:cs="Arial"/>
          <w:lang w:val="en-US"/>
        </w:rPr>
        <w:t>S</w:t>
      </w:r>
      <w:r w:rsidRPr="0066206A">
        <w:rPr>
          <w:rFonts w:ascii="Arial" w:hAnsi="Arial" w:cs="Arial"/>
          <w:lang w:val="en-US"/>
        </w:rPr>
        <w:t xml:space="preserve">tarting </w:t>
      </w:r>
      <w:r w:rsidR="002F5EFE" w:rsidRPr="00C57C8D">
        <w:rPr>
          <w:rFonts w:ascii="Arial" w:hAnsi="Arial" w:cs="Arial"/>
          <w:lang w:val="en-US"/>
        </w:rPr>
        <w:t xml:space="preserve">in </w:t>
      </w:r>
      <w:r w:rsidRPr="0066206A">
        <w:rPr>
          <w:rFonts w:ascii="Arial" w:hAnsi="Arial" w:cs="Arial"/>
          <w:lang w:val="en-US"/>
        </w:rPr>
        <w:t>March, the team at Black Thrive Global facilitat</w:t>
      </w:r>
      <w:r w:rsidR="002F5EFE" w:rsidRPr="00C57C8D">
        <w:rPr>
          <w:rFonts w:ascii="Arial" w:hAnsi="Arial" w:cs="Arial"/>
          <w:lang w:val="en-US"/>
        </w:rPr>
        <w:t>ed</w:t>
      </w:r>
      <w:r w:rsidRPr="0066206A">
        <w:rPr>
          <w:rFonts w:ascii="Arial" w:hAnsi="Arial" w:cs="Arial"/>
          <w:lang w:val="en-US"/>
        </w:rPr>
        <w:t xml:space="preserve"> two </w:t>
      </w:r>
      <w:r w:rsidR="000856BC" w:rsidRPr="00C57C8D">
        <w:rPr>
          <w:rFonts w:ascii="Arial" w:hAnsi="Arial" w:cs="Arial"/>
          <w:lang w:val="en-US"/>
        </w:rPr>
        <w:t>virtual sessions on race equity </w:t>
      </w:r>
      <w:proofErr w:type="spellStart"/>
      <w:r w:rsidR="000856BC" w:rsidRPr="00C57C8D">
        <w:rPr>
          <w:rFonts w:ascii="Arial" w:hAnsi="Arial" w:cs="Arial"/>
          <w:lang w:val="en-US"/>
        </w:rPr>
        <w:t xml:space="preserve">for </w:t>
      </w:r>
      <w:r w:rsidRPr="0066206A">
        <w:rPr>
          <w:rFonts w:ascii="Arial" w:hAnsi="Arial" w:cs="Arial"/>
          <w:lang w:val="en-US"/>
        </w:rPr>
        <w:t>ward</w:t>
      </w:r>
      <w:proofErr w:type="spellEnd"/>
      <w:r w:rsidRPr="0066206A">
        <w:rPr>
          <w:rFonts w:ascii="Arial" w:hAnsi="Arial" w:cs="Arial"/>
          <w:lang w:val="en-US"/>
        </w:rPr>
        <w:t xml:space="preserve"> staff and executives. </w:t>
      </w:r>
    </w:p>
    <w:p w14:paraId="56BC40C0" w14:textId="1A0FDDF9" w:rsidR="00C310FF" w:rsidRPr="00C57C8D" w:rsidRDefault="00C310FF" w:rsidP="002412B6">
      <w:pPr>
        <w:spacing w:before="100" w:beforeAutospacing="1" w:after="100" w:afterAutospacing="1" w:line="360" w:lineRule="auto"/>
        <w:rPr>
          <w:rFonts w:ascii="Arial" w:hAnsi="Arial" w:cs="Arial"/>
        </w:rPr>
      </w:pPr>
      <w:r w:rsidRPr="0066206A">
        <w:rPr>
          <w:rFonts w:ascii="Arial" w:hAnsi="Arial" w:cs="Arial"/>
        </w:rPr>
        <w:lastRenderedPageBreak/>
        <w:t xml:space="preserve">This training is designed to support </w:t>
      </w:r>
      <w:r w:rsidRPr="00C57C8D">
        <w:rPr>
          <w:rFonts w:ascii="Arial" w:hAnsi="Arial" w:cs="Arial"/>
        </w:rPr>
        <w:t>our staff</w:t>
      </w:r>
      <w:r w:rsidRPr="0066206A">
        <w:rPr>
          <w:rFonts w:ascii="Arial" w:hAnsi="Arial" w:cs="Arial"/>
        </w:rPr>
        <w:t xml:space="preserve"> in understanding, actioning, and embedding the Culture of Care’s (CofC) Antiracism Guiding Principle in </w:t>
      </w:r>
      <w:r w:rsidRPr="00C57C8D">
        <w:rPr>
          <w:rFonts w:ascii="Arial" w:hAnsi="Arial" w:cs="Arial"/>
        </w:rPr>
        <w:t>our</w:t>
      </w:r>
      <w:r w:rsidRPr="0066206A">
        <w:rPr>
          <w:rFonts w:ascii="Arial" w:hAnsi="Arial" w:cs="Arial"/>
        </w:rPr>
        <w:t xml:space="preserve"> wards. It demonstrate</w:t>
      </w:r>
      <w:r w:rsidR="00A7707E" w:rsidRPr="00C57C8D">
        <w:rPr>
          <w:rFonts w:ascii="Arial" w:hAnsi="Arial" w:cs="Arial"/>
        </w:rPr>
        <w:t>s</w:t>
      </w:r>
      <w:r w:rsidRPr="0066206A">
        <w:rPr>
          <w:rFonts w:ascii="Arial" w:hAnsi="Arial" w:cs="Arial"/>
        </w:rPr>
        <w:t xml:space="preserve"> how the Patient and Carer Race Equality Framework (PCREF) connects with the Culture of Care programme and </w:t>
      </w:r>
      <w:r w:rsidR="00A7707E" w:rsidRPr="00C57C8D">
        <w:rPr>
          <w:rFonts w:ascii="Arial" w:hAnsi="Arial" w:cs="Arial"/>
        </w:rPr>
        <w:t>transforms</w:t>
      </w:r>
      <w:r w:rsidRPr="0066206A">
        <w:rPr>
          <w:rFonts w:ascii="Arial" w:hAnsi="Arial" w:cs="Arial"/>
        </w:rPr>
        <w:t xml:space="preserve"> service access, experience and outcomes for culturally and ethnically diverse service users and staff. </w:t>
      </w:r>
    </w:p>
    <w:p w14:paraId="6DB29F31" w14:textId="77777777" w:rsidR="006D60F5" w:rsidRPr="00C57C8D" w:rsidRDefault="00F94A2A" w:rsidP="002412B6">
      <w:pPr>
        <w:spacing w:before="100" w:beforeAutospacing="1" w:after="100" w:afterAutospacing="1" w:line="360" w:lineRule="auto"/>
        <w:rPr>
          <w:rFonts w:ascii="Arial" w:hAnsi="Arial" w:cs="Arial"/>
        </w:rPr>
      </w:pPr>
      <w:r w:rsidRPr="00C57C8D">
        <w:rPr>
          <w:rFonts w:ascii="Arial" w:hAnsi="Arial" w:cs="Arial"/>
          <w:lang w:val="en-US"/>
        </w:rPr>
        <w:t xml:space="preserve">Several of our ward managers, EDI Lead, and </w:t>
      </w:r>
      <w:r w:rsidR="00F53C5B" w:rsidRPr="00C57C8D">
        <w:rPr>
          <w:rFonts w:ascii="Arial" w:hAnsi="Arial" w:cs="Arial"/>
          <w:lang w:val="en-US"/>
        </w:rPr>
        <w:t>PCREF lead attended the training in March. Further training is taking place in May, and several of our Executives are attending training tailored to senior leaders later in the year. This will support executive leaders in showcasing</w:t>
      </w:r>
      <w:r w:rsidR="00E80100" w:rsidRPr="0066206A">
        <w:rPr>
          <w:rFonts w:ascii="Arial" w:hAnsi="Arial" w:cs="Arial"/>
        </w:rPr>
        <w:t xml:space="preserve"> inpatient service improvements that meet PCREF requirements while </w:t>
      </w:r>
      <w:r w:rsidRPr="00C57C8D">
        <w:rPr>
          <w:rFonts w:ascii="Arial" w:hAnsi="Arial" w:cs="Arial"/>
        </w:rPr>
        <w:t>implementing the CoC's race equity principle</w:t>
      </w:r>
      <w:r w:rsidR="00E80100" w:rsidRPr="0066206A">
        <w:rPr>
          <w:rFonts w:ascii="Arial" w:hAnsi="Arial" w:cs="Arial"/>
        </w:rPr>
        <w:t>.</w:t>
      </w:r>
    </w:p>
    <w:p w14:paraId="70230449" w14:textId="1BD76D28" w:rsidR="00A37FD2" w:rsidRPr="00C57C8D" w:rsidRDefault="006D60F5" w:rsidP="002412B6">
      <w:pPr>
        <w:spacing w:before="100" w:beforeAutospacing="1" w:after="100" w:afterAutospacing="1" w:line="360" w:lineRule="auto"/>
        <w:rPr>
          <w:rFonts w:ascii="Arial" w:hAnsi="Arial" w:cs="Arial"/>
          <w:b/>
          <w:bCs/>
        </w:rPr>
      </w:pPr>
      <w:r w:rsidRPr="00C57C8D">
        <w:rPr>
          <w:rFonts w:ascii="Arial" w:hAnsi="Arial" w:cs="Arial"/>
          <w:b/>
          <w:bCs/>
        </w:rPr>
        <w:t>Ethnicity Pay Gap Analysis</w:t>
      </w:r>
      <w:r w:rsidR="005C2FF8">
        <w:rPr>
          <w:rFonts w:ascii="Arial" w:hAnsi="Arial" w:cs="Arial"/>
        </w:rPr>
        <w:t xml:space="preserve"> - </w:t>
      </w:r>
      <w:r w:rsidR="005C2FF8" w:rsidRPr="005C2FF8">
        <w:rPr>
          <w:rFonts w:ascii="Arial" w:hAnsi="Arial" w:cs="Arial"/>
        </w:rPr>
        <w:t>The Trust undertook an ethnicity pay gap analysis for the first time last year. The resulting report found</w:t>
      </w:r>
      <w:r w:rsidR="005C2FF8">
        <w:rPr>
          <w:rFonts w:ascii="Arial" w:hAnsi="Arial" w:cs="Arial"/>
          <w:b/>
          <w:bCs/>
        </w:rPr>
        <w:t xml:space="preserve"> </w:t>
      </w:r>
      <w:r w:rsidRPr="00C57C8D">
        <w:rPr>
          <w:rFonts w:ascii="Arial" w:hAnsi="Arial" w:cs="Arial"/>
        </w:rPr>
        <w:t xml:space="preserve">no negative pay gaps between staff from ethnic minority backgrounds and their white </w:t>
      </w:r>
      <w:r w:rsidR="00A37FD2" w:rsidRPr="00C57C8D">
        <w:rPr>
          <w:rFonts w:ascii="Arial" w:hAnsi="Arial" w:cs="Arial"/>
        </w:rPr>
        <w:t>colleagues</w:t>
      </w:r>
      <w:r w:rsidRPr="00C57C8D">
        <w:rPr>
          <w:rFonts w:ascii="Arial" w:hAnsi="Arial" w:cs="Arial"/>
        </w:rPr>
        <w:t xml:space="preserve">. All pay gaps identified </w:t>
      </w:r>
      <w:r w:rsidR="00980CC3" w:rsidRPr="00C57C8D">
        <w:rPr>
          <w:rFonts w:ascii="Arial" w:hAnsi="Arial" w:cs="Arial"/>
        </w:rPr>
        <w:t>favoured</w:t>
      </w:r>
      <w:r w:rsidRPr="00C57C8D">
        <w:rPr>
          <w:rFonts w:ascii="Arial" w:hAnsi="Arial" w:cs="Arial"/>
        </w:rPr>
        <w:t xml:space="preserve"> our staff from ethnic minority backgrounds. </w:t>
      </w:r>
    </w:p>
    <w:p w14:paraId="32310A53" w14:textId="16203983" w:rsidR="00F561FD" w:rsidRPr="00A9187B" w:rsidRDefault="00A37FD2" w:rsidP="002412B6">
      <w:pPr>
        <w:spacing w:before="100" w:beforeAutospacing="1" w:after="100" w:afterAutospacing="1" w:line="360" w:lineRule="auto"/>
        <w:rPr>
          <w:rFonts w:ascii="Arial" w:hAnsi="Arial" w:cs="Arial"/>
          <w:b/>
          <w:bCs/>
        </w:rPr>
      </w:pPr>
      <w:r w:rsidRPr="00C57C8D">
        <w:rPr>
          <w:rFonts w:ascii="Arial" w:hAnsi="Arial" w:cs="Arial"/>
          <w:b/>
          <w:bCs/>
        </w:rPr>
        <w:t>Act Against Racism Charter</w:t>
      </w:r>
      <w:r w:rsidR="00980CC3" w:rsidRPr="00C57C8D">
        <w:rPr>
          <w:rFonts w:ascii="Arial" w:hAnsi="Arial" w:cs="Arial"/>
          <w:b/>
          <w:bCs/>
        </w:rPr>
        <w:t xml:space="preserve"> - </w:t>
      </w:r>
      <w:r w:rsidR="00B6687F">
        <w:rPr>
          <w:rFonts w:ascii="Arial" w:hAnsi="Arial" w:cs="Arial"/>
          <w:color w:val="202124"/>
          <w:shd w:val="clear" w:color="auto" w:fill="FFFFFF"/>
        </w:rPr>
        <w:t>The Trust works towards the Royal Society of Psychiatrists Act Against Racism Charter. The campaign provides a framework of 15 actions for Trusts to address racism, developed with Medical Directors, the NHS Race and Health Observatory, and experts. The Executive Medical Director lead</w:t>
      </w:r>
      <w:r w:rsidR="00A9187B">
        <w:rPr>
          <w:rFonts w:ascii="Arial" w:hAnsi="Arial" w:cs="Arial"/>
          <w:color w:val="202124"/>
          <w:shd w:val="clear" w:color="auto" w:fill="FFFFFF"/>
        </w:rPr>
        <w:t>s</w:t>
      </w:r>
      <w:r w:rsidR="00B6687F">
        <w:rPr>
          <w:rFonts w:ascii="Arial" w:hAnsi="Arial" w:cs="Arial"/>
          <w:color w:val="202124"/>
          <w:shd w:val="clear" w:color="auto" w:fill="FFFFFF"/>
        </w:rPr>
        <w:t xml:space="preserve"> the initiative, </w:t>
      </w:r>
      <w:r w:rsidR="00A9187B">
        <w:rPr>
          <w:rFonts w:ascii="Arial" w:hAnsi="Arial" w:cs="Arial"/>
          <w:color w:val="202124"/>
          <w:shd w:val="clear" w:color="auto" w:fill="FFFFFF"/>
        </w:rPr>
        <w:t xml:space="preserve">supported by our EDI Lead, </w:t>
      </w:r>
      <w:r w:rsidR="00B6687F">
        <w:rPr>
          <w:rFonts w:ascii="Arial" w:hAnsi="Arial" w:cs="Arial"/>
          <w:color w:val="202124"/>
          <w:shd w:val="clear" w:color="auto" w:fill="FFFFFF"/>
        </w:rPr>
        <w:t>while the Board receives regular updates through a biannual EDI assurance report.</w:t>
      </w:r>
      <w:r w:rsidR="00A9187B">
        <w:rPr>
          <w:rFonts w:ascii="Arial" w:hAnsi="Arial" w:cs="Arial"/>
          <w:b/>
          <w:bCs/>
        </w:rPr>
        <w:br/>
      </w:r>
      <w:r w:rsidR="00956380" w:rsidRPr="00C57C8D">
        <w:rPr>
          <w:rFonts w:ascii="Arial" w:hAnsi="Arial" w:cs="Arial"/>
        </w:rPr>
        <w:br/>
      </w:r>
      <w:r w:rsidR="00B769F3" w:rsidRPr="00C57C8D">
        <w:rPr>
          <w:rFonts w:ascii="Arial" w:hAnsi="Arial" w:cs="Arial"/>
          <w:b/>
          <w:bCs/>
        </w:rPr>
        <w:t>Recruitment Deep Dive</w:t>
      </w:r>
      <w:r w:rsidR="00FF1536" w:rsidRPr="00C57C8D">
        <w:rPr>
          <w:rFonts w:ascii="Arial" w:hAnsi="Arial" w:cs="Arial"/>
        </w:rPr>
        <w:t xml:space="preserve"> - </w:t>
      </w:r>
      <w:r w:rsidR="006A7D76" w:rsidRPr="00C57C8D">
        <w:rPr>
          <w:rFonts w:ascii="Arial" w:hAnsi="Arial" w:cs="Arial"/>
        </w:rPr>
        <w:t xml:space="preserve">A detailed recruitment report was created that applies an EDI perspective to our recruitment activities </w:t>
      </w:r>
      <w:r w:rsidR="00FF1536" w:rsidRPr="00C57C8D">
        <w:rPr>
          <w:rFonts w:ascii="Arial" w:hAnsi="Arial" w:cs="Arial"/>
        </w:rPr>
        <w:t xml:space="preserve">between </w:t>
      </w:r>
      <w:r w:rsidR="00F663C1" w:rsidRPr="00C57C8D">
        <w:rPr>
          <w:rFonts w:ascii="Arial" w:hAnsi="Arial" w:cs="Arial"/>
        </w:rPr>
        <w:t xml:space="preserve">April </w:t>
      </w:r>
      <w:r w:rsidR="00FF1536" w:rsidRPr="00C57C8D">
        <w:rPr>
          <w:rFonts w:ascii="Arial" w:hAnsi="Arial" w:cs="Arial"/>
        </w:rPr>
        <w:t xml:space="preserve">and </w:t>
      </w:r>
      <w:r w:rsidR="00F663C1" w:rsidRPr="00C57C8D">
        <w:rPr>
          <w:rFonts w:ascii="Arial" w:hAnsi="Arial" w:cs="Arial"/>
        </w:rPr>
        <w:t>October 2024</w:t>
      </w:r>
      <w:r w:rsidR="006A7D76" w:rsidRPr="00C57C8D">
        <w:rPr>
          <w:rFonts w:ascii="Arial" w:hAnsi="Arial" w:cs="Arial"/>
        </w:rPr>
        <w:t xml:space="preserve">, considering protected characteristics. Insights from this report </w:t>
      </w:r>
      <w:r w:rsidR="00F663C1" w:rsidRPr="00C57C8D">
        <w:rPr>
          <w:rFonts w:ascii="Arial" w:hAnsi="Arial" w:cs="Arial"/>
        </w:rPr>
        <w:t>were</w:t>
      </w:r>
      <w:r w:rsidR="006A7D76" w:rsidRPr="00C57C8D">
        <w:rPr>
          <w:rFonts w:ascii="Arial" w:hAnsi="Arial" w:cs="Arial"/>
        </w:rPr>
        <w:t xml:space="preserve"> shared with HR Business Partners, who incorporate this information into their workforce planning meetings to address underrepresentation and to implement actions that support diverse recruitment strategies.</w:t>
      </w:r>
      <w:r w:rsidR="00F663C1" w:rsidRPr="00C57C8D">
        <w:rPr>
          <w:rFonts w:ascii="Arial" w:hAnsi="Arial" w:cs="Arial"/>
        </w:rPr>
        <w:t xml:space="preserve"> </w:t>
      </w:r>
      <w:r w:rsidR="006A7D76" w:rsidRPr="00C57C8D">
        <w:rPr>
          <w:rFonts w:ascii="Arial" w:hAnsi="Arial" w:cs="Arial"/>
        </w:rPr>
        <w:t xml:space="preserve">The improving </w:t>
      </w:r>
      <w:r w:rsidR="000B4FC8" w:rsidRPr="00C57C8D">
        <w:rPr>
          <w:rFonts w:ascii="Arial" w:hAnsi="Arial" w:cs="Arial"/>
        </w:rPr>
        <w:t>demographics</w:t>
      </w:r>
      <w:r w:rsidR="006A7D76" w:rsidRPr="00C57C8D">
        <w:rPr>
          <w:rFonts w:ascii="Arial" w:hAnsi="Arial" w:cs="Arial"/>
        </w:rPr>
        <w:t xml:space="preserve"> of the </w:t>
      </w:r>
      <w:r w:rsidR="000B4FC8" w:rsidRPr="00C57C8D">
        <w:rPr>
          <w:rFonts w:ascii="Arial" w:hAnsi="Arial" w:cs="Arial"/>
        </w:rPr>
        <w:t>Trust</w:t>
      </w:r>
      <w:r w:rsidR="006A7D76" w:rsidRPr="00C57C8D">
        <w:rPr>
          <w:rFonts w:ascii="Arial" w:hAnsi="Arial" w:cs="Arial"/>
        </w:rPr>
        <w:t xml:space="preserve"> workforce </w:t>
      </w:r>
      <w:r w:rsidR="000B4FC8" w:rsidRPr="00C57C8D">
        <w:rPr>
          <w:rFonts w:ascii="Arial" w:hAnsi="Arial" w:cs="Arial"/>
        </w:rPr>
        <w:t>are</w:t>
      </w:r>
      <w:r w:rsidR="006A7D76" w:rsidRPr="00C57C8D">
        <w:rPr>
          <w:rFonts w:ascii="Arial" w:hAnsi="Arial" w:cs="Arial"/>
        </w:rPr>
        <w:t xml:space="preserve"> a testament to </w:t>
      </w:r>
      <w:r w:rsidR="000B4FC8" w:rsidRPr="00C57C8D">
        <w:rPr>
          <w:rFonts w:ascii="Arial" w:hAnsi="Arial" w:cs="Arial"/>
        </w:rPr>
        <w:t>this collaborative approach.</w:t>
      </w:r>
    </w:p>
    <w:p w14:paraId="42058C54" w14:textId="6FE89672" w:rsidR="00EA1FF3" w:rsidRPr="00C57C8D" w:rsidRDefault="00287DBB" w:rsidP="002412B6">
      <w:pPr>
        <w:spacing w:before="100" w:beforeAutospacing="1" w:after="100" w:afterAutospacing="1" w:line="360" w:lineRule="auto"/>
        <w:rPr>
          <w:rFonts w:ascii="Arial" w:hAnsi="Arial" w:cs="Arial"/>
        </w:rPr>
      </w:pPr>
      <w:r w:rsidRPr="00C57C8D">
        <w:rPr>
          <w:rFonts w:ascii="Arial" w:hAnsi="Arial" w:cs="Arial"/>
        </w:rPr>
        <w:br/>
      </w:r>
    </w:p>
    <w:p w14:paraId="3DF8DAD8" w14:textId="77777777" w:rsidR="00963DDA" w:rsidRPr="00C57C8D" w:rsidRDefault="00963DDA" w:rsidP="002412B6">
      <w:pPr>
        <w:spacing w:before="100" w:beforeAutospacing="1" w:after="100" w:afterAutospacing="1" w:line="360" w:lineRule="auto"/>
        <w:rPr>
          <w:rFonts w:ascii="Arial" w:hAnsi="Arial" w:cs="Arial"/>
          <w:b/>
          <w:bCs/>
        </w:rPr>
      </w:pPr>
      <w:r w:rsidRPr="00C57C8D">
        <w:rPr>
          <w:rFonts w:ascii="Arial" w:hAnsi="Arial" w:cs="Arial"/>
          <w:b/>
          <w:bCs/>
        </w:rPr>
        <w:br w:type="page"/>
      </w:r>
    </w:p>
    <w:p w14:paraId="19A845A9" w14:textId="74FF8656" w:rsidR="00EA1FF3" w:rsidRPr="00A9187B" w:rsidRDefault="00A9187B" w:rsidP="00A9187B">
      <w:pPr>
        <w:pBdr>
          <w:bottom w:val="single" w:sz="4" w:space="1" w:color="auto"/>
        </w:pBdr>
        <w:spacing w:before="100" w:beforeAutospacing="1" w:after="100" w:afterAutospacing="1" w:line="360" w:lineRule="auto"/>
        <w:rPr>
          <w:rFonts w:ascii="Arial" w:hAnsi="Arial" w:cs="Arial"/>
          <w:b/>
          <w:bCs/>
          <w:color w:val="2F5496" w:themeColor="accent1" w:themeShade="BF"/>
        </w:rPr>
      </w:pPr>
      <w:r>
        <w:rPr>
          <w:rFonts w:ascii="Arial" w:hAnsi="Arial" w:cs="Arial"/>
          <w:b/>
          <w:bCs/>
          <w:color w:val="2F5496" w:themeColor="accent1" w:themeShade="BF"/>
        </w:rPr>
        <w:lastRenderedPageBreak/>
        <w:t xml:space="preserve">5. 2025 WRES </w:t>
      </w:r>
      <w:r w:rsidR="00EA1FF3" w:rsidRPr="00A9187B">
        <w:rPr>
          <w:rFonts w:ascii="Arial" w:hAnsi="Arial" w:cs="Arial"/>
          <w:b/>
          <w:bCs/>
          <w:color w:val="2F5496" w:themeColor="accent1" w:themeShade="BF"/>
        </w:rPr>
        <w:t xml:space="preserve">Action Plan </w:t>
      </w:r>
      <w:r>
        <w:rPr>
          <w:rFonts w:ascii="Arial" w:hAnsi="Arial" w:cs="Arial"/>
          <w:b/>
          <w:bCs/>
          <w:color w:val="2F5496" w:themeColor="accent1" w:themeShade="BF"/>
        </w:rPr>
        <w:t>to Address Areas of Focus</w:t>
      </w:r>
    </w:p>
    <w:p w14:paraId="7975A639" w14:textId="7F76631E" w:rsidR="00EA1FF3" w:rsidRPr="00A9187B" w:rsidRDefault="00EA1FF3" w:rsidP="002412B6">
      <w:pPr>
        <w:spacing w:before="100" w:beforeAutospacing="1" w:after="100" w:afterAutospacing="1" w:line="360" w:lineRule="auto"/>
        <w:rPr>
          <w:rFonts w:ascii="Arial" w:eastAsia="Calibri" w:hAnsi="Arial" w:cs="Arial"/>
        </w:rPr>
      </w:pPr>
      <w:r w:rsidRPr="00C57C8D">
        <w:rPr>
          <w:rFonts w:ascii="Arial" w:hAnsi="Arial" w:cs="Arial"/>
          <w:color w:val="000000" w:themeColor="text1"/>
        </w:rPr>
        <w:t xml:space="preserve">Trust performance in 7 of the 9 indicators is better than the NHS average. </w:t>
      </w:r>
      <w:r w:rsidRPr="00C57C8D">
        <w:rPr>
          <w:rFonts w:ascii="Arial" w:hAnsi="Arial" w:cs="Arial"/>
        </w:rPr>
        <w:t xml:space="preserve">The </w:t>
      </w:r>
      <w:r w:rsidRPr="00C57C8D">
        <w:rPr>
          <w:rFonts w:ascii="Arial" w:eastAsia="Calibri" w:hAnsi="Arial" w:cs="Arial"/>
        </w:rPr>
        <w:t>Trust WRES action plan for 202</w:t>
      </w:r>
      <w:r w:rsidR="009E3F30" w:rsidRPr="00C57C8D">
        <w:rPr>
          <w:rFonts w:ascii="Arial" w:eastAsia="Calibri" w:hAnsi="Arial" w:cs="Arial"/>
        </w:rPr>
        <w:t>5</w:t>
      </w:r>
      <w:r w:rsidRPr="00C57C8D">
        <w:rPr>
          <w:rFonts w:ascii="Arial" w:eastAsia="Calibri" w:hAnsi="Arial" w:cs="Arial"/>
        </w:rPr>
        <w:t>/2</w:t>
      </w:r>
      <w:r w:rsidR="009E3F30" w:rsidRPr="00C57C8D">
        <w:rPr>
          <w:rFonts w:ascii="Arial" w:eastAsia="Calibri" w:hAnsi="Arial" w:cs="Arial"/>
        </w:rPr>
        <w:t>6</w:t>
      </w:r>
      <w:r w:rsidRPr="00C57C8D">
        <w:rPr>
          <w:rFonts w:ascii="Arial" w:eastAsia="Calibri" w:hAnsi="Arial" w:cs="Arial"/>
        </w:rPr>
        <w:t xml:space="preserve"> below represents our priorities based </w:t>
      </w:r>
      <w:r w:rsidR="009E3F30" w:rsidRPr="00C57C8D">
        <w:rPr>
          <w:rFonts w:ascii="Arial" w:eastAsia="Calibri" w:hAnsi="Arial" w:cs="Arial"/>
        </w:rPr>
        <w:t>on</w:t>
      </w:r>
      <w:r w:rsidRPr="00C57C8D">
        <w:rPr>
          <w:rFonts w:ascii="Arial" w:eastAsia="Calibri" w:hAnsi="Arial" w:cs="Arial"/>
        </w:rPr>
        <w:t xml:space="preserve"> the data.</w:t>
      </w:r>
    </w:p>
    <w:tbl>
      <w:tblPr>
        <w:tblStyle w:val="TableGrid"/>
        <w:tblW w:w="0" w:type="auto"/>
        <w:tblLook w:val="04A0" w:firstRow="1" w:lastRow="0" w:firstColumn="1" w:lastColumn="0" w:noHBand="0" w:noVBand="1"/>
      </w:tblPr>
      <w:tblGrid>
        <w:gridCol w:w="461"/>
        <w:gridCol w:w="8323"/>
      </w:tblGrid>
      <w:tr w:rsidR="001246E9" w:rsidRPr="00C57C8D" w14:paraId="278B75A6" w14:textId="77777777" w:rsidTr="003E7D70">
        <w:tc>
          <w:tcPr>
            <w:tcW w:w="461" w:type="dxa"/>
            <w:shd w:val="clear" w:color="auto" w:fill="D9D9D9" w:themeFill="background1" w:themeFillShade="D9"/>
          </w:tcPr>
          <w:p w14:paraId="68C3B20C" w14:textId="77777777" w:rsidR="001246E9" w:rsidRPr="00C57C8D" w:rsidRDefault="001246E9" w:rsidP="003E7D70">
            <w:pPr>
              <w:spacing w:before="100" w:beforeAutospacing="1" w:after="100" w:afterAutospacing="1" w:line="360" w:lineRule="auto"/>
              <w:rPr>
                <w:rFonts w:ascii="Arial" w:eastAsia="Calibri" w:hAnsi="Arial" w:cs="Arial"/>
                <w:b/>
              </w:rPr>
            </w:pPr>
            <w:r w:rsidRPr="00C57C8D">
              <w:rPr>
                <w:rFonts w:ascii="Arial" w:eastAsia="Calibri" w:hAnsi="Arial" w:cs="Arial"/>
                <w:b/>
              </w:rPr>
              <w:t>N</w:t>
            </w:r>
            <w:r w:rsidRPr="00C57C8D">
              <w:rPr>
                <w:rFonts w:ascii="Arial" w:eastAsia="Calibri" w:hAnsi="Arial" w:cs="Arial"/>
                <w:b/>
                <w:vertAlign w:val="superscript"/>
              </w:rPr>
              <w:t>o</w:t>
            </w:r>
          </w:p>
        </w:tc>
        <w:tc>
          <w:tcPr>
            <w:tcW w:w="8323" w:type="dxa"/>
            <w:shd w:val="clear" w:color="auto" w:fill="D9D9D9" w:themeFill="background1" w:themeFillShade="D9"/>
          </w:tcPr>
          <w:p w14:paraId="369259CA" w14:textId="77777777" w:rsidR="001246E9" w:rsidRPr="00C57C8D" w:rsidRDefault="001246E9" w:rsidP="003E7D70">
            <w:pPr>
              <w:spacing w:before="100" w:beforeAutospacing="1" w:after="100" w:afterAutospacing="1" w:line="360" w:lineRule="auto"/>
              <w:rPr>
                <w:rFonts w:ascii="Arial" w:eastAsia="Calibri" w:hAnsi="Arial" w:cs="Arial"/>
                <w:b/>
              </w:rPr>
            </w:pPr>
            <w:r w:rsidRPr="00C57C8D">
              <w:rPr>
                <w:rFonts w:ascii="Arial" w:hAnsi="Arial" w:cs="Arial"/>
                <w:b/>
                <w:bCs/>
              </w:rPr>
              <w:t>2025/26 Objective</w:t>
            </w:r>
          </w:p>
        </w:tc>
      </w:tr>
      <w:tr w:rsidR="001246E9" w:rsidRPr="00C57C8D" w14:paraId="4457FC91" w14:textId="77777777" w:rsidTr="003E7D70">
        <w:tc>
          <w:tcPr>
            <w:tcW w:w="461" w:type="dxa"/>
          </w:tcPr>
          <w:p w14:paraId="2C2D1DEC" w14:textId="77777777" w:rsidR="001246E9" w:rsidRPr="00C57C8D" w:rsidRDefault="001246E9" w:rsidP="003E7D70">
            <w:pPr>
              <w:spacing w:before="100" w:beforeAutospacing="1" w:after="100" w:afterAutospacing="1" w:line="360" w:lineRule="auto"/>
              <w:contextualSpacing/>
              <w:rPr>
                <w:rFonts w:ascii="Arial" w:eastAsia="Calibri" w:hAnsi="Arial" w:cs="Arial"/>
                <w:bCs/>
              </w:rPr>
            </w:pPr>
            <w:r w:rsidRPr="00C57C8D">
              <w:rPr>
                <w:rFonts w:ascii="Arial" w:eastAsia="Calibri" w:hAnsi="Arial" w:cs="Arial"/>
                <w:bCs/>
              </w:rPr>
              <w:t>1</w:t>
            </w:r>
          </w:p>
        </w:tc>
        <w:tc>
          <w:tcPr>
            <w:tcW w:w="8323" w:type="dxa"/>
          </w:tcPr>
          <w:p w14:paraId="59E1BE8D" w14:textId="77777777" w:rsidR="001246E9" w:rsidRPr="00C57C8D" w:rsidRDefault="001246E9" w:rsidP="003E7D70">
            <w:pPr>
              <w:spacing w:before="100" w:beforeAutospacing="1" w:after="100" w:afterAutospacing="1" w:line="360" w:lineRule="auto"/>
              <w:rPr>
                <w:rFonts w:ascii="Arial" w:hAnsi="Arial" w:cs="Arial"/>
                <w:bCs/>
              </w:rPr>
            </w:pPr>
            <w:r w:rsidRPr="00C57C8D">
              <w:rPr>
                <w:rFonts w:ascii="Arial" w:hAnsi="Arial" w:cs="Arial"/>
                <w:bCs/>
              </w:rPr>
              <w:t>Fulfil the requirements of the NHSE EDI Improvement plan and support the board to realise high impact action 1</w:t>
            </w:r>
            <w:r w:rsidRPr="00C57C8D">
              <w:rPr>
                <w:rFonts w:ascii="Arial" w:hAnsi="Arial" w:cs="Arial"/>
                <w:color w:val="202A30"/>
                <w:shd w:val="clear" w:color="auto" w:fill="FFFFFF"/>
              </w:rPr>
              <w:t xml:space="preserve">. ​ </w:t>
            </w:r>
          </w:p>
        </w:tc>
      </w:tr>
      <w:tr w:rsidR="001246E9" w:rsidRPr="00C57C8D" w14:paraId="4706F4D2" w14:textId="77777777" w:rsidTr="003E7D70">
        <w:tc>
          <w:tcPr>
            <w:tcW w:w="461" w:type="dxa"/>
          </w:tcPr>
          <w:p w14:paraId="7E811C3E" w14:textId="77777777" w:rsidR="001246E9" w:rsidRPr="00C57C8D" w:rsidRDefault="001246E9" w:rsidP="003E7D70">
            <w:pPr>
              <w:spacing w:before="100" w:beforeAutospacing="1" w:after="100" w:afterAutospacing="1" w:line="360" w:lineRule="auto"/>
              <w:rPr>
                <w:rFonts w:ascii="Arial" w:hAnsi="Arial" w:cs="Arial"/>
                <w:bCs/>
              </w:rPr>
            </w:pPr>
            <w:r w:rsidRPr="00C57C8D">
              <w:rPr>
                <w:rFonts w:ascii="Arial" w:hAnsi="Arial" w:cs="Arial"/>
                <w:bCs/>
              </w:rPr>
              <w:t>2</w:t>
            </w:r>
          </w:p>
        </w:tc>
        <w:tc>
          <w:tcPr>
            <w:tcW w:w="8323" w:type="dxa"/>
          </w:tcPr>
          <w:p w14:paraId="3A2560FF" w14:textId="77777777" w:rsidR="001246E9" w:rsidRPr="00C57C8D" w:rsidRDefault="001246E9" w:rsidP="003E7D70">
            <w:pPr>
              <w:spacing w:before="100" w:beforeAutospacing="1" w:after="100" w:afterAutospacing="1" w:line="360" w:lineRule="auto"/>
              <w:rPr>
                <w:rFonts w:ascii="Arial" w:hAnsi="Arial" w:cs="Arial"/>
                <w:bCs/>
              </w:rPr>
            </w:pPr>
            <w:r w:rsidRPr="00C57C8D">
              <w:rPr>
                <w:rFonts w:ascii="Arial" w:hAnsi="Arial" w:cs="Arial"/>
                <w:bCs/>
              </w:rPr>
              <w:t xml:space="preserve">EDI </w:t>
            </w:r>
            <w:proofErr w:type="gramStart"/>
            <w:r>
              <w:rPr>
                <w:rFonts w:ascii="Arial" w:hAnsi="Arial" w:cs="Arial"/>
                <w:bCs/>
              </w:rPr>
              <w:t>L</w:t>
            </w:r>
            <w:r w:rsidRPr="00C57C8D">
              <w:rPr>
                <w:rFonts w:ascii="Arial" w:hAnsi="Arial" w:cs="Arial"/>
                <w:bCs/>
              </w:rPr>
              <w:t>ead</w:t>
            </w:r>
            <w:proofErr w:type="gramEnd"/>
            <w:r w:rsidRPr="00C57C8D">
              <w:rPr>
                <w:rFonts w:ascii="Arial" w:hAnsi="Arial" w:cs="Arial"/>
                <w:bCs/>
              </w:rPr>
              <w:t xml:space="preserve"> to work with the Culture &amp; Workforce Project Lead, </w:t>
            </w:r>
            <w:r w:rsidRPr="001053D8">
              <w:rPr>
                <w:rFonts w:ascii="Arial" w:hAnsi="Arial" w:cs="Arial"/>
                <w:bCs/>
              </w:rPr>
              <w:t>Mental Health, Learning Disabilities and Autism Sector Collaborative</w:t>
            </w:r>
            <w:r w:rsidRPr="00C57C8D">
              <w:rPr>
                <w:rFonts w:ascii="Arial" w:hAnsi="Arial" w:cs="Arial"/>
                <w:bCs/>
              </w:rPr>
              <w:t xml:space="preserve"> on the development of a systemwide Humber and North Yorkshire Reciprocal Mentoring Pilot programme</w:t>
            </w:r>
          </w:p>
        </w:tc>
      </w:tr>
      <w:tr w:rsidR="001246E9" w:rsidRPr="00C57C8D" w14:paraId="510769D1" w14:textId="77777777" w:rsidTr="003E7D70">
        <w:tc>
          <w:tcPr>
            <w:tcW w:w="461" w:type="dxa"/>
          </w:tcPr>
          <w:p w14:paraId="70EB027D" w14:textId="77777777" w:rsidR="001246E9" w:rsidRPr="00C57C8D" w:rsidRDefault="001246E9" w:rsidP="003E7D70">
            <w:pPr>
              <w:spacing w:before="100" w:beforeAutospacing="1" w:after="100" w:afterAutospacing="1" w:line="360" w:lineRule="auto"/>
              <w:contextualSpacing/>
              <w:rPr>
                <w:rFonts w:ascii="Arial" w:eastAsia="Calibri" w:hAnsi="Arial" w:cs="Arial"/>
                <w:bCs/>
              </w:rPr>
            </w:pPr>
            <w:r w:rsidRPr="00C57C8D">
              <w:rPr>
                <w:rFonts w:ascii="Arial" w:eastAsia="Calibri" w:hAnsi="Arial" w:cs="Arial"/>
                <w:bCs/>
              </w:rPr>
              <w:t>3</w:t>
            </w:r>
          </w:p>
        </w:tc>
        <w:tc>
          <w:tcPr>
            <w:tcW w:w="8323" w:type="dxa"/>
          </w:tcPr>
          <w:p w14:paraId="02CB6C53" w14:textId="77777777" w:rsidR="001246E9" w:rsidRPr="00C57C8D" w:rsidRDefault="001246E9" w:rsidP="003E7D70">
            <w:pPr>
              <w:spacing w:before="100" w:beforeAutospacing="1" w:after="100" w:afterAutospacing="1" w:line="360" w:lineRule="auto"/>
              <w:rPr>
                <w:rFonts w:ascii="Arial" w:eastAsia="Calibri" w:hAnsi="Arial" w:cs="Arial"/>
                <w:bCs/>
              </w:rPr>
            </w:pPr>
            <w:r w:rsidRPr="00C57C8D">
              <w:rPr>
                <w:rFonts w:ascii="Arial" w:hAnsi="Arial" w:cs="Arial"/>
                <w:bCs/>
              </w:rPr>
              <w:t>Following the success of the Respect campaign, relaunch the Respect framework with new resources, including training video and posters, raising the profile for the ambitions of the work and further driving up a safe reporting culture.</w:t>
            </w:r>
          </w:p>
        </w:tc>
      </w:tr>
      <w:tr w:rsidR="001246E9" w:rsidRPr="00C57C8D" w14:paraId="4FB7F59E" w14:textId="77777777" w:rsidTr="003E7D70">
        <w:tc>
          <w:tcPr>
            <w:tcW w:w="461" w:type="dxa"/>
          </w:tcPr>
          <w:p w14:paraId="24736393" w14:textId="77777777" w:rsidR="001246E9" w:rsidRPr="00C57C8D" w:rsidRDefault="001246E9" w:rsidP="003E7D70">
            <w:pPr>
              <w:spacing w:before="100" w:beforeAutospacing="1" w:after="100" w:afterAutospacing="1" w:line="360" w:lineRule="auto"/>
              <w:rPr>
                <w:rFonts w:ascii="Arial" w:eastAsia="Calibri" w:hAnsi="Arial" w:cs="Arial"/>
                <w:bCs/>
              </w:rPr>
            </w:pPr>
            <w:r w:rsidRPr="00C57C8D">
              <w:rPr>
                <w:rFonts w:ascii="Arial" w:eastAsia="Calibri" w:hAnsi="Arial" w:cs="Arial"/>
                <w:bCs/>
              </w:rPr>
              <w:t>4</w:t>
            </w:r>
          </w:p>
        </w:tc>
        <w:tc>
          <w:tcPr>
            <w:tcW w:w="8323" w:type="dxa"/>
          </w:tcPr>
          <w:p w14:paraId="79BFD76A" w14:textId="77777777" w:rsidR="001246E9" w:rsidRPr="00C57C8D" w:rsidRDefault="001246E9" w:rsidP="003E7D70">
            <w:pPr>
              <w:spacing w:before="100" w:beforeAutospacing="1" w:after="100" w:afterAutospacing="1" w:line="360" w:lineRule="auto"/>
              <w:rPr>
                <w:rFonts w:ascii="Arial" w:hAnsi="Arial" w:cs="Arial"/>
              </w:rPr>
            </w:pPr>
            <w:r w:rsidRPr="00C57C8D">
              <w:rPr>
                <w:rFonts w:ascii="Arial" w:hAnsi="Arial" w:cs="Arial"/>
                <w:bCs/>
              </w:rPr>
              <w:t xml:space="preserve">Build on the No Excuse for Abuse toolkit's success by better understanding the Datix data to provide benchmarking data, determine which areas have a higher prevalence of related incidents and drive </w:t>
            </w:r>
            <w:r w:rsidRPr="00C57C8D">
              <w:rPr>
                <w:rFonts w:ascii="Arial" w:hAnsi="Arial" w:cs="Arial"/>
              </w:rPr>
              <w:t>work that provides bespoke support for those areas.</w:t>
            </w:r>
          </w:p>
        </w:tc>
      </w:tr>
      <w:tr w:rsidR="001246E9" w:rsidRPr="00C57C8D" w14:paraId="5211F425" w14:textId="77777777" w:rsidTr="003E7D70">
        <w:tc>
          <w:tcPr>
            <w:tcW w:w="461" w:type="dxa"/>
          </w:tcPr>
          <w:p w14:paraId="5F568ED4" w14:textId="77777777" w:rsidR="001246E9" w:rsidRPr="00C57C8D" w:rsidRDefault="001246E9" w:rsidP="003E7D70">
            <w:pPr>
              <w:spacing w:before="100" w:beforeAutospacing="1" w:after="100" w:afterAutospacing="1" w:line="360" w:lineRule="auto"/>
              <w:rPr>
                <w:rFonts w:ascii="Arial" w:eastAsia="Calibri" w:hAnsi="Arial" w:cs="Arial"/>
                <w:bCs/>
              </w:rPr>
            </w:pPr>
            <w:r w:rsidRPr="00C57C8D">
              <w:rPr>
                <w:rFonts w:ascii="Arial" w:eastAsia="Calibri" w:hAnsi="Arial" w:cs="Arial"/>
                <w:bCs/>
              </w:rPr>
              <w:t>5</w:t>
            </w:r>
          </w:p>
        </w:tc>
        <w:tc>
          <w:tcPr>
            <w:tcW w:w="8323" w:type="dxa"/>
          </w:tcPr>
          <w:p w14:paraId="16B25274" w14:textId="77777777" w:rsidR="001246E9" w:rsidRPr="00C57C8D" w:rsidRDefault="001246E9" w:rsidP="003E7D70">
            <w:pPr>
              <w:spacing w:before="100" w:beforeAutospacing="1" w:after="100" w:afterAutospacing="1" w:line="360" w:lineRule="auto"/>
              <w:rPr>
                <w:rFonts w:ascii="Arial" w:hAnsi="Arial" w:cs="Arial"/>
              </w:rPr>
            </w:pPr>
            <w:r w:rsidRPr="00C57C8D">
              <w:rPr>
                <w:rFonts w:ascii="Arial" w:hAnsi="Arial" w:cs="Arial"/>
                <w:bCs/>
              </w:rPr>
              <w:t>Recognise that the No Excuse for Abuse toolkit is</w:t>
            </w:r>
            <w:r w:rsidRPr="00C57C8D">
              <w:rPr>
                <w:rFonts w:ascii="Arial" w:hAnsi="Arial" w:cs="Arial"/>
              </w:rPr>
              <w:t xml:space="preserve"> focused on post-incident support for staff and, in collaboration with stakeholders, develop methods to equip ward managers to be more proactive where they know there is a prevalence of abuse towards staff. </w:t>
            </w:r>
          </w:p>
        </w:tc>
      </w:tr>
      <w:tr w:rsidR="001246E9" w:rsidRPr="00C57C8D" w14:paraId="2621E13F" w14:textId="77777777" w:rsidTr="003E7D70">
        <w:tc>
          <w:tcPr>
            <w:tcW w:w="461" w:type="dxa"/>
          </w:tcPr>
          <w:p w14:paraId="15D01EA3" w14:textId="77777777" w:rsidR="001246E9" w:rsidRPr="00C57C8D" w:rsidRDefault="001246E9" w:rsidP="003E7D70">
            <w:pPr>
              <w:spacing w:before="100" w:beforeAutospacing="1" w:after="100" w:afterAutospacing="1" w:line="360" w:lineRule="auto"/>
              <w:rPr>
                <w:rFonts w:ascii="Arial" w:hAnsi="Arial" w:cs="Arial"/>
              </w:rPr>
            </w:pPr>
            <w:r w:rsidRPr="00C57C8D">
              <w:rPr>
                <w:rFonts w:ascii="Arial" w:hAnsi="Arial" w:cs="Arial"/>
              </w:rPr>
              <w:t>6</w:t>
            </w:r>
          </w:p>
        </w:tc>
        <w:tc>
          <w:tcPr>
            <w:tcW w:w="8323" w:type="dxa"/>
          </w:tcPr>
          <w:p w14:paraId="6C341BF8" w14:textId="77777777" w:rsidR="001246E9" w:rsidRPr="00C57C8D" w:rsidRDefault="001246E9" w:rsidP="003E7D70">
            <w:pPr>
              <w:spacing w:before="100" w:beforeAutospacing="1" w:after="100" w:afterAutospacing="1" w:line="360" w:lineRule="auto"/>
              <w:rPr>
                <w:rFonts w:ascii="Arial" w:hAnsi="Arial" w:cs="Arial"/>
              </w:rPr>
            </w:pPr>
            <w:r w:rsidRPr="00C57C8D">
              <w:rPr>
                <w:rFonts w:ascii="Arial" w:hAnsi="Arial" w:cs="Arial"/>
                <w:bCs/>
              </w:rPr>
              <w:t>Registered staff to attend Race Equity training provided by the Culture of Care national team in May and September to support</w:t>
            </w:r>
            <w:r w:rsidRPr="0066206A">
              <w:rPr>
                <w:rFonts w:ascii="Arial" w:hAnsi="Arial" w:cs="Arial"/>
              </w:rPr>
              <w:t xml:space="preserve"> </w:t>
            </w:r>
            <w:r w:rsidRPr="00C57C8D">
              <w:rPr>
                <w:rFonts w:ascii="Arial" w:hAnsi="Arial" w:cs="Arial"/>
              </w:rPr>
              <w:t>transforming</w:t>
            </w:r>
            <w:r w:rsidRPr="0066206A">
              <w:rPr>
                <w:rFonts w:ascii="Arial" w:hAnsi="Arial" w:cs="Arial"/>
              </w:rPr>
              <w:t xml:space="preserve"> service access, experience and outcomes for culturally and ethnically diverse service users and staff. </w:t>
            </w:r>
          </w:p>
        </w:tc>
      </w:tr>
      <w:tr w:rsidR="001246E9" w:rsidRPr="00C57C8D" w14:paraId="631ABCED" w14:textId="77777777" w:rsidTr="003E7D70">
        <w:tc>
          <w:tcPr>
            <w:tcW w:w="461" w:type="dxa"/>
          </w:tcPr>
          <w:p w14:paraId="7CCAF3F1" w14:textId="77777777" w:rsidR="001246E9" w:rsidRPr="00C57C8D" w:rsidRDefault="001246E9" w:rsidP="003E7D70">
            <w:pPr>
              <w:spacing w:before="100" w:beforeAutospacing="1" w:after="100" w:afterAutospacing="1" w:line="360" w:lineRule="auto"/>
              <w:rPr>
                <w:rFonts w:ascii="Arial" w:hAnsi="Arial" w:cs="Arial"/>
              </w:rPr>
            </w:pPr>
            <w:r w:rsidRPr="00C57C8D">
              <w:rPr>
                <w:rFonts w:ascii="Arial" w:hAnsi="Arial" w:cs="Arial"/>
              </w:rPr>
              <w:t>7</w:t>
            </w:r>
          </w:p>
        </w:tc>
        <w:tc>
          <w:tcPr>
            <w:tcW w:w="8323" w:type="dxa"/>
          </w:tcPr>
          <w:p w14:paraId="10FD5E63" w14:textId="77777777" w:rsidR="001246E9" w:rsidRPr="00C57C8D" w:rsidRDefault="001246E9" w:rsidP="003E7D70">
            <w:pPr>
              <w:spacing w:before="100" w:beforeAutospacing="1" w:after="100" w:afterAutospacing="1" w:line="360" w:lineRule="auto"/>
              <w:rPr>
                <w:rFonts w:ascii="Arial" w:hAnsi="Arial" w:cs="Arial"/>
                <w:bCs/>
              </w:rPr>
            </w:pPr>
            <w:r w:rsidRPr="00C57C8D">
              <w:rPr>
                <w:rFonts w:ascii="Arial" w:hAnsi="Arial" w:cs="Arial"/>
                <w:bCs/>
              </w:rPr>
              <w:t xml:space="preserve">EDI </w:t>
            </w:r>
            <w:proofErr w:type="gramStart"/>
            <w:r w:rsidRPr="00C57C8D">
              <w:rPr>
                <w:rFonts w:ascii="Arial" w:hAnsi="Arial" w:cs="Arial"/>
                <w:bCs/>
              </w:rPr>
              <w:t>Lead</w:t>
            </w:r>
            <w:proofErr w:type="gramEnd"/>
            <w:r w:rsidRPr="00C57C8D">
              <w:rPr>
                <w:rFonts w:ascii="Arial" w:hAnsi="Arial" w:cs="Arial"/>
                <w:bCs/>
              </w:rPr>
              <w:t xml:space="preserve"> to represent workforce EDI at the newly formed Care, Culture and Equity Steering Group, a collaborative group bringing together the work of Culture of Care, Trauma Informed Care, Patient and Carer Race Equality Framework and Health Inequalities</w:t>
            </w:r>
          </w:p>
        </w:tc>
      </w:tr>
      <w:tr w:rsidR="001246E9" w:rsidRPr="00C57C8D" w14:paraId="568E554E" w14:textId="77777777" w:rsidTr="003E7D70">
        <w:tc>
          <w:tcPr>
            <w:tcW w:w="461" w:type="dxa"/>
          </w:tcPr>
          <w:p w14:paraId="13CEBC72" w14:textId="77777777" w:rsidR="001246E9" w:rsidRPr="00C57C8D" w:rsidRDefault="001246E9" w:rsidP="003E7D70">
            <w:pPr>
              <w:spacing w:before="100" w:beforeAutospacing="1" w:after="100" w:afterAutospacing="1" w:line="360" w:lineRule="auto"/>
              <w:rPr>
                <w:rFonts w:ascii="Arial" w:hAnsi="Arial" w:cs="Arial"/>
              </w:rPr>
            </w:pPr>
            <w:r w:rsidRPr="00C57C8D">
              <w:rPr>
                <w:rFonts w:ascii="Arial" w:hAnsi="Arial" w:cs="Arial"/>
              </w:rPr>
              <w:t>8</w:t>
            </w:r>
          </w:p>
        </w:tc>
        <w:tc>
          <w:tcPr>
            <w:tcW w:w="8323" w:type="dxa"/>
          </w:tcPr>
          <w:p w14:paraId="7D202DEA" w14:textId="77777777" w:rsidR="001246E9" w:rsidRPr="00C57C8D" w:rsidRDefault="001246E9" w:rsidP="003E7D70">
            <w:pPr>
              <w:tabs>
                <w:tab w:val="left" w:pos="1700"/>
              </w:tabs>
              <w:spacing w:before="100" w:beforeAutospacing="1" w:after="100" w:afterAutospacing="1" w:line="360" w:lineRule="auto"/>
              <w:rPr>
                <w:rFonts w:ascii="Arial" w:hAnsi="Arial" w:cs="Arial"/>
                <w:bCs/>
              </w:rPr>
            </w:pPr>
            <w:r w:rsidRPr="00C57C8D">
              <w:rPr>
                <w:rFonts w:ascii="Arial" w:hAnsi="Arial" w:cs="Arial"/>
                <w:bCs/>
              </w:rPr>
              <w:t>Continue to support the Executive Medical Director to realise the ambitions of the Act Against Racism Charter and embed inclusive practice across the organisation, providing regular assurance to EMT and the Board.</w:t>
            </w:r>
          </w:p>
        </w:tc>
      </w:tr>
    </w:tbl>
    <w:p w14:paraId="7618C143" w14:textId="77777777" w:rsidR="00EA1FF3" w:rsidRPr="00C57C8D" w:rsidRDefault="00EA1FF3" w:rsidP="002412B6">
      <w:pPr>
        <w:spacing w:before="100" w:beforeAutospacing="1" w:after="100" w:afterAutospacing="1" w:line="360" w:lineRule="auto"/>
        <w:rPr>
          <w:rFonts w:ascii="Arial" w:eastAsia="Calibri" w:hAnsi="Arial" w:cs="Arial"/>
          <w:b/>
        </w:rPr>
      </w:pPr>
    </w:p>
    <w:p w14:paraId="3A1C7400" w14:textId="77777777" w:rsidR="00963DDA" w:rsidRPr="00C57C8D" w:rsidRDefault="00963DDA" w:rsidP="002412B6">
      <w:pPr>
        <w:spacing w:before="100" w:beforeAutospacing="1" w:after="100" w:afterAutospacing="1" w:line="360" w:lineRule="auto"/>
        <w:rPr>
          <w:rFonts w:ascii="Arial" w:eastAsia="Calibri" w:hAnsi="Arial" w:cs="Arial"/>
          <w:b/>
        </w:rPr>
      </w:pPr>
      <w:r w:rsidRPr="00C57C8D">
        <w:rPr>
          <w:rFonts w:ascii="Arial" w:eastAsia="Calibri" w:hAnsi="Arial" w:cs="Arial"/>
          <w:b/>
        </w:rPr>
        <w:br w:type="page"/>
      </w:r>
    </w:p>
    <w:p w14:paraId="0219783B" w14:textId="0EF07746" w:rsidR="00603A65" w:rsidRPr="00C57C8D" w:rsidRDefault="00603A65" w:rsidP="002412B6">
      <w:pPr>
        <w:spacing w:before="100" w:beforeAutospacing="1" w:after="100" w:afterAutospacing="1" w:line="360" w:lineRule="auto"/>
        <w:rPr>
          <w:rFonts w:ascii="Arial" w:hAnsi="Arial" w:cs="Arial"/>
        </w:rPr>
      </w:pPr>
      <w:r w:rsidRPr="00C57C8D">
        <w:rPr>
          <w:rFonts w:ascii="Arial" w:eastAsia="Calibri" w:hAnsi="Arial" w:cs="Arial"/>
          <w:b/>
        </w:rPr>
        <w:lastRenderedPageBreak/>
        <w:t>Appendix 1: Data Sources</w:t>
      </w:r>
    </w:p>
    <w:tbl>
      <w:tblPr>
        <w:tblStyle w:val="TableGrid"/>
        <w:tblW w:w="0" w:type="auto"/>
        <w:tblLook w:val="04A0" w:firstRow="1" w:lastRow="0" w:firstColumn="1" w:lastColumn="0" w:noHBand="0" w:noVBand="1"/>
      </w:tblPr>
      <w:tblGrid>
        <w:gridCol w:w="4152"/>
        <w:gridCol w:w="4864"/>
      </w:tblGrid>
      <w:tr w:rsidR="00603A65" w:rsidRPr="00C57C8D" w14:paraId="0A24D79C" w14:textId="77777777" w:rsidTr="00556E41">
        <w:tc>
          <w:tcPr>
            <w:tcW w:w="4152" w:type="dxa"/>
            <w:shd w:val="clear" w:color="auto" w:fill="8EAADB"/>
          </w:tcPr>
          <w:p w14:paraId="26262CA7" w14:textId="77777777" w:rsidR="00603A65" w:rsidRPr="00C57C8D" w:rsidRDefault="00603A65" w:rsidP="002412B6">
            <w:pPr>
              <w:spacing w:before="100" w:beforeAutospacing="1" w:after="100" w:afterAutospacing="1" w:line="360" w:lineRule="auto"/>
              <w:jc w:val="center"/>
              <w:rPr>
                <w:rFonts w:ascii="Arial" w:eastAsia="Calibri" w:hAnsi="Arial" w:cs="Arial"/>
                <w:b/>
              </w:rPr>
            </w:pPr>
            <w:r w:rsidRPr="00C57C8D">
              <w:rPr>
                <w:rFonts w:ascii="Arial" w:eastAsia="Calibri" w:hAnsi="Arial" w:cs="Arial"/>
                <w:b/>
              </w:rPr>
              <w:t>Metric</w:t>
            </w:r>
          </w:p>
        </w:tc>
        <w:tc>
          <w:tcPr>
            <w:tcW w:w="4864" w:type="dxa"/>
            <w:shd w:val="clear" w:color="auto" w:fill="8EAADB"/>
          </w:tcPr>
          <w:p w14:paraId="218BC582" w14:textId="77777777" w:rsidR="00603A65" w:rsidRPr="00C57C8D" w:rsidRDefault="00603A65" w:rsidP="002412B6">
            <w:pPr>
              <w:spacing w:before="100" w:beforeAutospacing="1" w:after="100" w:afterAutospacing="1" w:line="360" w:lineRule="auto"/>
              <w:jc w:val="center"/>
              <w:rPr>
                <w:rFonts w:ascii="Arial" w:eastAsia="Calibri" w:hAnsi="Arial" w:cs="Arial"/>
                <w:b/>
              </w:rPr>
            </w:pPr>
            <w:r w:rsidRPr="00C57C8D">
              <w:rPr>
                <w:rFonts w:ascii="Arial" w:eastAsia="Calibri" w:hAnsi="Arial" w:cs="Arial"/>
                <w:b/>
              </w:rPr>
              <w:t>Data Source</w:t>
            </w:r>
          </w:p>
        </w:tc>
      </w:tr>
      <w:tr w:rsidR="00603A65" w:rsidRPr="00C57C8D" w14:paraId="6C8B7218" w14:textId="77777777" w:rsidTr="00556E41">
        <w:tc>
          <w:tcPr>
            <w:tcW w:w="4152" w:type="dxa"/>
          </w:tcPr>
          <w:p w14:paraId="24629B5D" w14:textId="0D30EA31" w:rsidR="00603A65" w:rsidRPr="00C57C8D" w:rsidRDefault="00603A65" w:rsidP="002412B6">
            <w:pPr>
              <w:spacing w:before="100" w:beforeAutospacing="1" w:after="100" w:afterAutospacing="1" w:line="360" w:lineRule="auto"/>
              <w:ind w:left="142"/>
              <w:rPr>
                <w:rFonts w:ascii="Arial" w:eastAsia="Calibri" w:hAnsi="Arial" w:cs="Arial"/>
                <w:bCs/>
              </w:rPr>
            </w:pPr>
            <w:r w:rsidRPr="00C57C8D">
              <w:rPr>
                <w:rFonts w:ascii="Arial" w:eastAsia="Calibri" w:hAnsi="Arial" w:cs="Arial"/>
                <w:bCs/>
              </w:rPr>
              <w:t xml:space="preserve">Metric 1 - Percentage of staff in </w:t>
            </w:r>
            <w:proofErr w:type="spellStart"/>
            <w:r w:rsidRPr="00C57C8D">
              <w:rPr>
                <w:rFonts w:ascii="Arial" w:eastAsia="Calibri" w:hAnsi="Arial" w:cs="Arial"/>
                <w:bCs/>
              </w:rPr>
              <w:t>AfC</w:t>
            </w:r>
            <w:proofErr w:type="spellEnd"/>
            <w:r w:rsidRPr="00C57C8D">
              <w:rPr>
                <w:rFonts w:ascii="Arial" w:eastAsia="Calibri" w:hAnsi="Arial" w:cs="Arial"/>
                <w:bCs/>
              </w:rPr>
              <w:t xml:space="preserve"> pay bands or medical and dental subgroups and very senior managers (including executive board members) compared with the percentage of staff in the overall workforce. </w:t>
            </w:r>
          </w:p>
        </w:tc>
        <w:tc>
          <w:tcPr>
            <w:tcW w:w="4864" w:type="dxa"/>
          </w:tcPr>
          <w:p w14:paraId="75EEFDCC" w14:textId="77777777" w:rsidR="00603A65" w:rsidRPr="00C57C8D" w:rsidRDefault="00603A65" w:rsidP="002412B6">
            <w:pPr>
              <w:spacing w:before="100" w:beforeAutospacing="1" w:after="100" w:afterAutospacing="1" w:line="360" w:lineRule="auto"/>
              <w:rPr>
                <w:rFonts w:ascii="Arial" w:eastAsia="Calibri" w:hAnsi="Arial" w:cs="Arial"/>
                <w:bCs/>
              </w:rPr>
            </w:pPr>
            <w:r w:rsidRPr="00C57C8D">
              <w:rPr>
                <w:rFonts w:ascii="Arial" w:eastAsia="Calibri" w:hAnsi="Arial" w:cs="Arial"/>
                <w:bCs/>
              </w:rPr>
              <w:t>ESR</w:t>
            </w:r>
          </w:p>
        </w:tc>
      </w:tr>
      <w:tr w:rsidR="00603A65" w:rsidRPr="00C57C8D" w14:paraId="2DD01A84" w14:textId="77777777" w:rsidTr="00556E41">
        <w:tc>
          <w:tcPr>
            <w:tcW w:w="4152" w:type="dxa"/>
          </w:tcPr>
          <w:p w14:paraId="1E3D8E36" w14:textId="1C23C1B0" w:rsidR="00603A65" w:rsidRPr="00C57C8D" w:rsidRDefault="00603A65" w:rsidP="002412B6">
            <w:pPr>
              <w:spacing w:before="100" w:beforeAutospacing="1" w:after="100" w:afterAutospacing="1" w:line="360" w:lineRule="auto"/>
              <w:rPr>
                <w:rFonts w:ascii="Arial" w:eastAsia="Calibri" w:hAnsi="Arial" w:cs="Arial"/>
                <w:bCs/>
              </w:rPr>
            </w:pPr>
            <w:r w:rsidRPr="00C57C8D">
              <w:rPr>
                <w:rFonts w:ascii="Arial" w:eastAsia="Calibri" w:hAnsi="Arial" w:cs="Arial"/>
                <w:bCs/>
              </w:rPr>
              <w:t xml:space="preserve">Metric 2 – </w:t>
            </w:r>
            <w:r w:rsidRPr="00C57C8D">
              <w:rPr>
                <w:rFonts w:ascii="Arial" w:hAnsi="Arial" w:cs="Arial"/>
              </w:rPr>
              <w:t xml:space="preserve">Relative likelihood of </w:t>
            </w:r>
            <w:r w:rsidR="00DC6CE2" w:rsidRPr="00C57C8D">
              <w:rPr>
                <w:rFonts w:ascii="Arial" w:hAnsi="Arial" w:cs="Arial"/>
              </w:rPr>
              <w:t>ethnically diverse</w:t>
            </w:r>
            <w:r w:rsidRPr="00C57C8D">
              <w:rPr>
                <w:rFonts w:ascii="Arial" w:hAnsi="Arial" w:cs="Arial"/>
              </w:rPr>
              <w:t xml:space="preserve"> staff being appointed from shortlisting</w:t>
            </w:r>
          </w:p>
        </w:tc>
        <w:tc>
          <w:tcPr>
            <w:tcW w:w="4864" w:type="dxa"/>
          </w:tcPr>
          <w:p w14:paraId="3A857B18" w14:textId="77777777" w:rsidR="00603A65" w:rsidRPr="00C57C8D" w:rsidRDefault="00603A65" w:rsidP="002412B6">
            <w:pPr>
              <w:spacing w:before="100" w:beforeAutospacing="1" w:after="100" w:afterAutospacing="1" w:line="360" w:lineRule="auto"/>
              <w:rPr>
                <w:rFonts w:ascii="Arial" w:eastAsia="Calibri" w:hAnsi="Arial" w:cs="Arial"/>
                <w:bCs/>
              </w:rPr>
            </w:pPr>
            <w:r w:rsidRPr="00C57C8D">
              <w:rPr>
                <w:rFonts w:ascii="Arial" w:eastAsia="Calibri" w:hAnsi="Arial" w:cs="Arial"/>
                <w:bCs/>
              </w:rPr>
              <w:t>Trust’s recruitment data</w:t>
            </w:r>
          </w:p>
        </w:tc>
      </w:tr>
      <w:tr w:rsidR="00603A65" w:rsidRPr="00C57C8D" w14:paraId="371128C2" w14:textId="77777777" w:rsidTr="00556E41">
        <w:tc>
          <w:tcPr>
            <w:tcW w:w="4152" w:type="dxa"/>
          </w:tcPr>
          <w:p w14:paraId="4DDB976E" w14:textId="2893F046" w:rsidR="00603A65" w:rsidRPr="00C57C8D" w:rsidRDefault="00603A65" w:rsidP="002412B6">
            <w:pPr>
              <w:spacing w:before="100" w:beforeAutospacing="1" w:after="100" w:afterAutospacing="1" w:line="360" w:lineRule="auto"/>
              <w:rPr>
                <w:rFonts w:ascii="Arial" w:eastAsia="Calibri" w:hAnsi="Arial" w:cs="Arial"/>
                <w:bCs/>
              </w:rPr>
            </w:pPr>
            <w:r w:rsidRPr="00C57C8D">
              <w:rPr>
                <w:rFonts w:ascii="Arial" w:eastAsia="Calibri" w:hAnsi="Arial" w:cs="Arial"/>
                <w:bCs/>
              </w:rPr>
              <w:t xml:space="preserve">Metric 3 – </w:t>
            </w:r>
            <w:r w:rsidRPr="00C57C8D">
              <w:rPr>
                <w:rFonts w:ascii="Arial" w:hAnsi="Arial" w:cs="Arial"/>
              </w:rPr>
              <w:t>Relative likelihood of staff entering a formal disciplinary process</w:t>
            </w:r>
          </w:p>
        </w:tc>
        <w:tc>
          <w:tcPr>
            <w:tcW w:w="4864" w:type="dxa"/>
          </w:tcPr>
          <w:p w14:paraId="7C4D2854" w14:textId="77777777" w:rsidR="00603A65" w:rsidRPr="00C57C8D" w:rsidRDefault="00603A65" w:rsidP="002412B6">
            <w:pPr>
              <w:spacing w:before="100" w:beforeAutospacing="1" w:after="100" w:afterAutospacing="1" w:line="360" w:lineRule="auto"/>
              <w:rPr>
                <w:rFonts w:ascii="Arial" w:eastAsia="Calibri" w:hAnsi="Arial" w:cs="Arial"/>
                <w:bCs/>
              </w:rPr>
            </w:pPr>
            <w:r w:rsidRPr="00C57C8D">
              <w:rPr>
                <w:rFonts w:ascii="Arial" w:eastAsia="Calibri" w:hAnsi="Arial" w:cs="Arial"/>
                <w:bCs/>
              </w:rPr>
              <w:t>Trust’s HR data</w:t>
            </w:r>
          </w:p>
        </w:tc>
      </w:tr>
      <w:tr w:rsidR="00603A65" w:rsidRPr="00C57C8D" w14:paraId="672776A3" w14:textId="77777777" w:rsidTr="00556E41">
        <w:tc>
          <w:tcPr>
            <w:tcW w:w="4152" w:type="dxa"/>
          </w:tcPr>
          <w:p w14:paraId="7219D08F" w14:textId="3A5B0CC4" w:rsidR="00603A65" w:rsidRPr="00C57C8D" w:rsidRDefault="00603A65" w:rsidP="002412B6">
            <w:pPr>
              <w:spacing w:before="100" w:beforeAutospacing="1" w:after="100" w:afterAutospacing="1" w:line="360" w:lineRule="auto"/>
              <w:rPr>
                <w:rFonts w:ascii="Arial" w:eastAsia="Calibri" w:hAnsi="Arial" w:cs="Arial"/>
                <w:bCs/>
              </w:rPr>
            </w:pPr>
            <w:r w:rsidRPr="00C57C8D">
              <w:rPr>
                <w:rFonts w:ascii="Arial" w:eastAsia="Calibri" w:hAnsi="Arial" w:cs="Arial"/>
                <w:bCs/>
              </w:rPr>
              <w:t xml:space="preserve">Metric 4 – </w:t>
            </w:r>
            <w:r w:rsidRPr="00C57C8D">
              <w:rPr>
                <w:rFonts w:ascii="Arial" w:hAnsi="Arial" w:cs="Arial"/>
              </w:rPr>
              <w:t>Relative likelihood of staff accessing non-mandatory training and CPD</w:t>
            </w:r>
          </w:p>
        </w:tc>
        <w:tc>
          <w:tcPr>
            <w:tcW w:w="4864" w:type="dxa"/>
          </w:tcPr>
          <w:p w14:paraId="6362FA41" w14:textId="77777777" w:rsidR="00603A65" w:rsidRPr="00C57C8D" w:rsidRDefault="00603A65" w:rsidP="002412B6">
            <w:pPr>
              <w:spacing w:before="100" w:beforeAutospacing="1" w:after="100" w:afterAutospacing="1" w:line="360" w:lineRule="auto"/>
              <w:rPr>
                <w:rFonts w:ascii="Arial" w:eastAsia="Calibri" w:hAnsi="Arial" w:cs="Arial"/>
                <w:bCs/>
              </w:rPr>
            </w:pPr>
            <w:r w:rsidRPr="00C57C8D">
              <w:rPr>
                <w:rFonts w:ascii="Arial" w:eastAsia="Calibri" w:hAnsi="Arial" w:cs="Arial"/>
                <w:bCs/>
              </w:rPr>
              <w:t>Question 13, NHS Staff Survey</w:t>
            </w:r>
          </w:p>
        </w:tc>
      </w:tr>
      <w:tr w:rsidR="00603A65" w:rsidRPr="00C57C8D" w14:paraId="0A060338" w14:textId="77777777" w:rsidTr="00556E41">
        <w:tc>
          <w:tcPr>
            <w:tcW w:w="4152" w:type="dxa"/>
          </w:tcPr>
          <w:p w14:paraId="2E95C9B6" w14:textId="00753D24" w:rsidR="00603A65" w:rsidRPr="00C57C8D" w:rsidRDefault="00603A65" w:rsidP="002412B6">
            <w:pPr>
              <w:spacing w:before="100" w:beforeAutospacing="1" w:after="100" w:afterAutospacing="1" w:line="360" w:lineRule="auto"/>
              <w:rPr>
                <w:rFonts w:ascii="Arial" w:eastAsia="Calibri" w:hAnsi="Arial" w:cs="Arial"/>
                <w:bCs/>
              </w:rPr>
            </w:pPr>
            <w:r w:rsidRPr="00C57C8D">
              <w:rPr>
                <w:rFonts w:ascii="Arial" w:eastAsia="Calibri" w:hAnsi="Arial" w:cs="Arial"/>
                <w:bCs/>
              </w:rPr>
              <w:t>Metrics 5 – 8</w:t>
            </w:r>
          </w:p>
        </w:tc>
        <w:tc>
          <w:tcPr>
            <w:tcW w:w="4864" w:type="dxa"/>
          </w:tcPr>
          <w:p w14:paraId="43680EA1" w14:textId="77777777" w:rsidR="00603A65" w:rsidRPr="00C57C8D" w:rsidRDefault="00603A65" w:rsidP="002412B6">
            <w:pPr>
              <w:spacing w:before="100" w:beforeAutospacing="1" w:after="100" w:afterAutospacing="1" w:line="360" w:lineRule="auto"/>
              <w:rPr>
                <w:rFonts w:ascii="Arial" w:eastAsia="Calibri" w:hAnsi="Arial" w:cs="Arial"/>
                <w:bCs/>
              </w:rPr>
            </w:pPr>
            <w:r w:rsidRPr="00C57C8D">
              <w:rPr>
                <w:rFonts w:ascii="Arial" w:eastAsia="Calibri" w:hAnsi="Arial" w:cs="Arial"/>
                <w:bCs/>
              </w:rPr>
              <w:t>Questions 14, 11, 5, 28b, NHS Staff Survey</w:t>
            </w:r>
          </w:p>
        </w:tc>
      </w:tr>
      <w:tr w:rsidR="00603A65" w:rsidRPr="00C57C8D" w14:paraId="691E59C1" w14:textId="77777777" w:rsidTr="00556E41">
        <w:tc>
          <w:tcPr>
            <w:tcW w:w="4152" w:type="dxa"/>
          </w:tcPr>
          <w:p w14:paraId="23B62ED2" w14:textId="0DDC1071" w:rsidR="00603A65" w:rsidRPr="00C57C8D" w:rsidRDefault="00603A65" w:rsidP="002412B6">
            <w:pPr>
              <w:spacing w:before="100" w:beforeAutospacing="1" w:after="100" w:afterAutospacing="1" w:line="360" w:lineRule="auto"/>
              <w:rPr>
                <w:rFonts w:ascii="Arial" w:eastAsia="Calibri" w:hAnsi="Arial" w:cs="Arial"/>
                <w:bCs/>
              </w:rPr>
            </w:pPr>
            <w:r w:rsidRPr="00C57C8D">
              <w:rPr>
                <w:rFonts w:ascii="Arial" w:eastAsia="Calibri" w:hAnsi="Arial" w:cs="Arial"/>
                <w:bCs/>
              </w:rPr>
              <w:t xml:space="preserve">Metric 9 – </w:t>
            </w:r>
            <w:r w:rsidR="00DC6CE2" w:rsidRPr="00C57C8D">
              <w:rPr>
                <w:rFonts w:ascii="Arial" w:eastAsia="Calibri" w:hAnsi="Arial" w:cs="Arial"/>
                <w:bCs/>
              </w:rPr>
              <w:t>The percentage</w:t>
            </w:r>
            <w:r w:rsidRPr="00C57C8D">
              <w:rPr>
                <w:rFonts w:ascii="Arial" w:eastAsia="Calibri" w:hAnsi="Arial" w:cs="Arial"/>
                <w:bCs/>
              </w:rPr>
              <w:t xml:space="preserve"> difference between the organisation’s board voting membership and its organisation’s overall workforce</w:t>
            </w:r>
          </w:p>
        </w:tc>
        <w:tc>
          <w:tcPr>
            <w:tcW w:w="4864" w:type="dxa"/>
          </w:tcPr>
          <w:p w14:paraId="1F2EFFF7" w14:textId="77777777" w:rsidR="00603A65" w:rsidRPr="00C57C8D" w:rsidRDefault="00603A65" w:rsidP="002412B6">
            <w:pPr>
              <w:spacing w:before="100" w:beforeAutospacing="1" w:after="100" w:afterAutospacing="1" w:line="360" w:lineRule="auto"/>
              <w:rPr>
                <w:rFonts w:ascii="Arial" w:eastAsia="Calibri" w:hAnsi="Arial" w:cs="Arial"/>
                <w:bCs/>
              </w:rPr>
            </w:pPr>
            <w:r w:rsidRPr="00C57C8D">
              <w:rPr>
                <w:rFonts w:ascii="Arial" w:eastAsia="Calibri" w:hAnsi="Arial" w:cs="Arial"/>
                <w:bCs/>
              </w:rPr>
              <w:t>ESR and/or trust’s local data</w:t>
            </w:r>
          </w:p>
        </w:tc>
      </w:tr>
    </w:tbl>
    <w:p w14:paraId="4C6635B4" w14:textId="77777777" w:rsidR="00603A65" w:rsidRPr="00C57C8D" w:rsidRDefault="00603A65" w:rsidP="002412B6">
      <w:pPr>
        <w:spacing w:before="100" w:beforeAutospacing="1" w:after="100" w:afterAutospacing="1" w:line="360" w:lineRule="auto"/>
        <w:rPr>
          <w:rFonts w:ascii="Arial" w:hAnsi="Arial" w:cs="Arial"/>
          <w:b/>
          <w:bCs/>
          <w:u w:val="single"/>
        </w:rPr>
      </w:pPr>
    </w:p>
    <w:p w14:paraId="08270626" w14:textId="77777777" w:rsidR="00603A65" w:rsidRPr="00C57C8D" w:rsidRDefault="00603A65" w:rsidP="002412B6">
      <w:pPr>
        <w:spacing w:before="100" w:beforeAutospacing="1" w:after="100" w:afterAutospacing="1" w:line="360" w:lineRule="auto"/>
        <w:rPr>
          <w:rFonts w:ascii="Arial" w:hAnsi="Arial" w:cs="Arial"/>
          <w:b/>
          <w:bCs/>
          <w:u w:val="single"/>
        </w:rPr>
      </w:pPr>
    </w:p>
    <w:p w14:paraId="5C23856B" w14:textId="77777777" w:rsidR="00603A65" w:rsidRPr="00C57C8D" w:rsidRDefault="00603A65" w:rsidP="002412B6">
      <w:pPr>
        <w:spacing w:before="100" w:beforeAutospacing="1" w:after="100" w:afterAutospacing="1" w:line="360" w:lineRule="auto"/>
        <w:rPr>
          <w:rFonts w:ascii="Arial" w:hAnsi="Arial" w:cs="Arial"/>
          <w:b/>
          <w:u w:val="single"/>
        </w:rPr>
      </w:pPr>
    </w:p>
    <w:p w14:paraId="59C23AC1" w14:textId="77777777" w:rsidR="00603A65" w:rsidRPr="00C57C8D" w:rsidRDefault="00603A65" w:rsidP="002412B6">
      <w:pPr>
        <w:spacing w:before="100" w:beforeAutospacing="1" w:after="100" w:afterAutospacing="1" w:line="360" w:lineRule="auto"/>
        <w:rPr>
          <w:rFonts w:ascii="Arial" w:eastAsia="Calibri" w:hAnsi="Arial" w:cs="Arial"/>
          <w:b/>
        </w:rPr>
      </w:pPr>
    </w:p>
    <w:p w14:paraId="5E06C4E7" w14:textId="25F9FADB" w:rsidR="00E666D2" w:rsidRPr="00C57C8D" w:rsidRDefault="00E666D2" w:rsidP="002412B6">
      <w:pPr>
        <w:spacing w:before="100" w:beforeAutospacing="1" w:after="100" w:afterAutospacing="1" w:line="360" w:lineRule="auto"/>
        <w:rPr>
          <w:rFonts w:ascii="Arial" w:hAnsi="Arial" w:cs="Arial"/>
        </w:rPr>
      </w:pPr>
    </w:p>
    <w:sectPr w:rsidR="00E666D2" w:rsidRPr="00C57C8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47145" w14:textId="77777777" w:rsidR="003C22CA" w:rsidRDefault="003C22CA" w:rsidP="00280735">
      <w:pPr>
        <w:spacing w:after="0" w:line="240" w:lineRule="auto"/>
      </w:pPr>
      <w:r>
        <w:separator/>
      </w:r>
    </w:p>
  </w:endnote>
  <w:endnote w:type="continuationSeparator" w:id="0">
    <w:p w14:paraId="33BDE857" w14:textId="77777777" w:rsidR="003C22CA" w:rsidRDefault="003C22CA" w:rsidP="00280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676772"/>
      <w:docPartObj>
        <w:docPartGallery w:val="Page Numbers (Bottom of Page)"/>
        <w:docPartUnique/>
      </w:docPartObj>
    </w:sdtPr>
    <w:sdtEndPr>
      <w:rPr>
        <w:noProof/>
      </w:rPr>
    </w:sdtEndPr>
    <w:sdtContent>
      <w:p w14:paraId="47539171" w14:textId="55743C07" w:rsidR="00280735" w:rsidRDefault="002807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3B1110" w14:textId="77777777" w:rsidR="00280735" w:rsidRDefault="00280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87009" w14:textId="77777777" w:rsidR="003C22CA" w:rsidRDefault="003C22CA" w:rsidP="00280735">
      <w:pPr>
        <w:spacing w:after="0" w:line="240" w:lineRule="auto"/>
      </w:pPr>
      <w:r>
        <w:separator/>
      </w:r>
    </w:p>
  </w:footnote>
  <w:footnote w:type="continuationSeparator" w:id="0">
    <w:p w14:paraId="4EF7E288" w14:textId="77777777" w:rsidR="003C22CA" w:rsidRDefault="003C22CA" w:rsidP="00280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0DE"/>
    <w:multiLevelType w:val="multilevel"/>
    <w:tmpl w:val="749AB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C70B15"/>
    <w:multiLevelType w:val="hybridMultilevel"/>
    <w:tmpl w:val="AEA8DB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94895"/>
    <w:multiLevelType w:val="hybridMultilevel"/>
    <w:tmpl w:val="696A6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22320"/>
    <w:multiLevelType w:val="hybridMultilevel"/>
    <w:tmpl w:val="8C7AC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DA0EBA"/>
    <w:multiLevelType w:val="hybridMultilevel"/>
    <w:tmpl w:val="75187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4F6678"/>
    <w:multiLevelType w:val="hybridMultilevel"/>
    <w:tmpl w:val="8B98E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F236FF"/>
    <w:multiLevelType w:val="hybridMultilevel"/>
    <w:tmpl w:val="15444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830D73"/>
    <w:multiLevelType w:val="hybridMultilevel"/>
    <w:tmpl w:val="B3DA2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3189977">
    <w:abstractNumId w:val="6"/>
  </w:num>
  <w:num w:numId="2" w16cid:durableId="1377319696">
    <w:abstractNumId w:val="2"/>
  </w:num>
  <w:num w:numId="3" w16cid:durableId="1191990808">
    <w:abstractNumId w:val="1"/>
  </w:num>
  <w:num w:numId="4" w16cid:durableId="223805769">
    <w:abstractNumId w:val="0"/>
  </w:num>
  <w:num w:numId="5" w16cid:durableId="1158230060">
    <w:abstractNumId w:val="4"/>
  </w:num>
  <w:num w:numId="6" w16cid:durableId="884176913">
    <w:abstractNumId w:val="7"/>
  </w:num>
  <w:num w:numId="7" w16cid:durableId="281426487">
    <w:abstractNumId w:val="3"/>
  </w:num>
  <w:num w:numId="8" w16cid:durableId="9609576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5A22"/>
    <w:rsid w:val="00030EDA"/>
    <w:rsid w:val="00033073"/>
    <w:rsid w:val="000335DA"/>
    <w:rsid w:val="00057274"/>
    <w:rsid w:val="00065070"/>
    <w:rsid w:val="00074DF7"/>
    <w:rsid w:val="00080B72"/>
    <w:rsid w:val="00082AD6"/>
    <w:rsid w:val="000856BC"/>
    <w:rsid w:val="000932AB"/>
    <w:rsid w:val="000A3334"/>
    <w:rsid w:val="000B1017"/>
    <w:rsid w:val="000B1B83"/>
    <w:rsid w:val="000B4FC8"/>
    <w:rsid w:val="000C0141"/>
    <w:rsid w:val="000C1296"/>
    <w:rsid w:val="000D1F2C"/>
    <w:rsid w:val="000F5008"/>
    <w:rsid w:val="00102B2A"/>
    <w:rsid w:val="001053D8"/>
    <w:rsid w:val="00116770"/>
    <w:rsid w:val="001246E9"/>
    <w:rsid w:val="00145BD2"/>
    <w:rsid w:val="001A0657"/>
    <w:rsid w:val="001B0D1F"/>
    <w:rsid w:val="001C61ED"/>
    <w:rsid w:val="001F6514"/>
    <w:rsid w:val="001F6790"/>
    <w:rsid w:val="00207F73"/>
    <w:rsid w:val="00221F29"/>
    <w:rsid w:val="00230187"/>
    <w:rsid w:val="002412B6"/>
    <w:rsid w:val="00250B0D"/>
    <w:rsid w:val="00280735"/>
    <w:rsid w:val="00283A85"/>
    <w:rsid w:val="00284D4A"/>
    <w:rsid w:val="00287DBB"/>
    <w:rsid w:val="002A2E37"/>
    <w:rsid w:val="002B1DFC"/>
    <w:rsid w:val="002D5055"/>
    <w:rsid w:val="002E0AE5"/>
    <w:rsid w:val="002E1FAB"/>
    <w:rsid w:val="002F04D5"/>
    <w:rsid w:val="002F1122"/>
    <w:rsid w:val="002F5EFE"/>
    <w:rsid w:val="00300D65"/>
    <w:rsid w:val="00340D08"/>
    <w:rsid w:val="00347E9C"/>
    <w:rsid w:val="003664EA"/>
    <w:rsid w:val="00376D40"/>
    <w:rsid w:val="00397A45"/>
    <w:rsid w:val="003A2761"/>
    <w:rsid w:val="003A6D5B"/>
    <w:rsid w:val="003C22CA"/>
    <w:rsid w:val="003C22EF"/>
    <w:rsid w:val="003F041B"/>
    <w:rsid w:val="003F1D8D"/>
    <w:rsid w:val="003F608D"/>
    <w:rsid w:val="0040359D"/>
    <w:rsid w:val="00403DA5"/>
    <w:rsid w:val="004203C5"/>
    <w:rsid w:val="00423CD5"/>
    <w:rsid w:val="0042703C"/>
    <w:rsid w:val="00427390"/>
    <w:rsid w:val="00432C3F"/>
    <w:rsid w:val="004402E7"/>
    <w:rsid w:val="004443CF"/>
    <w:rsid w:val="00453961"/>
    <w:rsid w:val="00453D2C"/>
    <w:rsid w:val="0045416A"/>
    <w:rsid w:val="0045416E"/>
    <w:rsid w:val="00464022"/>
    <w:rsid w:val="004A20EC"/>
    <w:rsid w:val="004A3EE2"/>
    <w:rsid w:val="004A5F94"/>
    <w:rsid w:val="004B3409"/>
    <w:rsid w:val="004C23D3"/>
    <w:rsid w:val="004C395D"/>
    <w:rsid w:val="004C602A"/>
    <w:rsid w:val="004D1E15"/>
    <w:rsid w:val="004D7730"/>
    <w:rsid w:val="005114D3"/>
    <w:rsid w:val="005216AE"/>
    <w:rsid w:val="00522ED3"/>
    <w:rsid w:val="0052336C"/>
    <w:rsid w:val="00540FD0"/>
    <w:rsid w:val="005856B8"/>
    <w:rsid w:val="00592454"/>
    <w:rsid w:val="005A63D5"/>
    <w:rsid w:val="005B1058"/>
    <w:rsid w:val="005B5696"/>
    <w:rsid w:val="005C2FF8"/>
    <w:rsid w:val="005D0847"/>
    <w:rsid w:val="005D5EA5"/>
    <w:rsid w:val="00603A65"/>
    <w:rsid w:val="0061670E"/>
    <w:rsid w:val="00621E8D"/>
    <w:rsid w:val="00622EB0"/>
    <w:rsid w:val="00641B9C"/>
    <w:rsid w:val="006452A3"/>
    <w:rsid w:val="00647DDB"/>
    <w:rsid w:val="0066206A"/>
    <w:rsid w:val="0067314F"/>
    <w:rsid w:val="00673AFD"/>
    <w:rsid w:val="0068059A"/>
    <w:rsid w:val="0068556D"/>
    <w:rsid w:val="0068676B"/>
    <w:rsid w:val="00692036"/>
    <w:rsid w:val="00692C25"/>
    <w:rsid w:val="006A049A"/>
    <w:rsid w:val="006A6199"/>
    <w:rsid w:val="006A7D76"/>
    <w:rsid w:val="006B30F9"/>
    <w:rsid w:val="006B7E47"/>
    <w:rsid w:val="006C19F0"/>
    <w:rsid w:val="006C4A54"/>
    <w:rsid w:val="006D4C1B"/>
    <w:rsid w:val="006D60F5"/>
    <w:rsid w:val="006D79E0"/>
    <w:rsid w:val="006E3744"/>
    <w:rsid w:val="006F3DB0"/>
    <w:rsid w:val="00703B53"/>
    <w:rsid w:val="007047CB"/>
    <w:rsid w:val="00715C66"/>
    <w:rsid w:val="00742E16"/>
    <w:rsid w:val="00751639"/>
    <w:rsid w:val="00763DC2"/>
    <w:rsid w:val="00780775"/>
    <w:rsid w:val="007917AA"/>
    <w:rsid w:val="00792FEB"/>
    <w:rsid w:val="007A191E"/>
    <w:rsid w:val="007C5D5B"/>
    <w:rsid w:val="007C5E7E"/>
    <w:rsid w:val="007D201F"/>
    <w:rsid w:val="007F3194"/>
    <w:rsid w:val="007F31DB"/>
    <w:rsid w:val="00845525"/>
    <w:rsid w:val="00851621"/>
    <w:rsid w:val="0086404B"/>
    <w:rsid w:val="00867B16"/>
    <w:rsid w:val="00874E64"/>
    <w:rsid w:val="00886D62"/>
    <w:rsid w:val="00891A67"/>
    <w:rsid w:val="008A4046"/>
    <w:rsid w:val="008A5A22"/>
    <w:rsid w:val="008B257F"/>
    <w:rsid w:val="008B554E"/>
    <w:rsid w:val="008D3A8F"/>
    <w:rsid w:val="009177CB"/>
    <w:rsid w:val="009205D3"/>
    <w:rsid w:val="00925810"/>
    <w:rsid w:val="00956380"/>
    <w:rsid w:val="0096059C"/>
    <w:rsid w:val="00963DDA"/>
    <w:rsid w:val="009676E8"/>
    <w:rsid w:val="00967F9B"/>
    <w:rsid w:val="00974EF2"/>
    <w:rsid w:val="009758DA"/>
    <w:rsid w:val="00980CC3"/>
    <w:rsid w:val="00992A98"/>
    <w:rsid w:val="009A746B"/>
    <w:rsid w:val="009B64ED"/>
    <w:rsid w:val="009C22F4"/>
    <w:rsid w:val="009C7A31"/>
    <w:rsid w:val="009E1284"/>
    <w:rsid w:val="009E1A4C"/>
    <w:rsid w:val="009E3F30"/>
    <w:rsid w:val="009F3CC1"/>
    <w:rsid w:val="009F64FE"/>
    <w:rsid w:val="009F739C"/>
    <w:rsid w:val="009F7EC4"/>
    <w:rsid w:val="00A22F20"/>
    <w:rsid w:val="00A37FD2"/>
    <w:rsid w:val="00A459A7"/>
    <w:rsid w:val="00A47EC4"/>
    <w:rsid w:val="00A511F9"/>
    <w:rsid w:val="00A5356B"/>
    <w:rsid w:val="00A64DD1"/>
    <w:rsid w:val="00A6504D"/>
    <w:rsid w:val="00A70594"/>
    <w:rsid w:val="00A7707E"/>
    <w:rsid w:val="00A9187B"/>
    <w:rsid w:val="00AA7C72"/>
    <w:rsid w:val="00AB4C07"/>
    <w:rsid w:val="00AB7A57"/>
    <w:rsid w:val="00AB7BA9"/>
    <w:rsid w:val="00AC62BC"/>
    <w:rsid w:val="00B052D7"/>
    <w:rsid w:val="00B1353F"/>
    <w:rsid w:val="00B1647D"/>
    <w:rsid w:val="00B24D04"/>
    <w:rsid w:val="00B33841"/>
    <w:rsid w:val="00B3401B"/>
    <w:rsid w:val="00B6687F"/>
    <w:rsid w:val="00B6772E"/>
    <w:rsid w:val="00B723B7"/>
    <w:rsid w:val="00B769F3"/>
    <w:rsid w:val="00B86222"/>
    <w:rsid w:val="00B963B1"/>
    <w:rsid w:val="00BB09A6"/>
    <w:rsid w:val="00BB2108"/>
    <w:rsid w:val="00BB5DB4"/>
    <w:rsid w:val="00BF00F3"/>
    <w:rsid w:val="00BF1015"/>
    <w:rsid w:val="00BF2E07"/>
    <w:rsid w:val="00C212A6"/>
    <w:rsid w:val="00C310FF"/>
    <w:rsid w:val="00C47667"/>
    <w:rsid w:val="00C57C8D"/>
    <w:rsid w:val="00C76089"/>
    <w:rsid w:val="00C7749A"/>
    <w:rsid w:val="00C854DB"/>
    <w:rsid w:val="00C85EF8"/>
    <w:rsid w:val="00C9509E"/>
    <w:rsid w:val="00C966A1"/>
    <w:rsid w:val="00C974A5"/>
    <w:rsid w:val="00CA146A"/>
    <w:rsid w:val="00CA2A32"/>
    <w:rsid w:val="00CA5019"/>
    <w:rsid w:val="00CB081B"/>
    <w:rsid w:val="00CB1AD0"/>
    <w:rsid w:val="00CB27D3"/>
    <w:rsid w:val="00CB7450"/>
    <w:rsid w:val="00CD36BB"/>
    <w:rsid w:val="00CE2CFC"/>
    <w:rsid w:val="00CF2006"/>
    <w:rsid w:val="00D061E7"/>
    <w:rsid w:val="00D11778"/>
    <w:rsid w:val="00D20EA9"/>
    <w:rsid w:val="00D23B1C"/>
    <w:rsid w:val="00D30EB3"/>
    <w:rsid w:val="00D7180E"/>
    <w:rsid w:val="00D75269"/>
    <w:rsid w:val="00D75B54"/>
    <w:rsid w:val="00D76471"/>
    <w:rsid w:val="00D82816"/>
    <w:rsid w:val="00D91BB0"/>
    <w:rsid w:val="00D967A7"/>
    <w:rsid w:val="00DA0D49"/>
    <w:rsid w:val="00DA127D"/>
    <w:rsid w:val="00DC6CE2"/>
    <w:rsid w:val="00DE32D3"/>
    <w:rsid w:val="00DE5642"/>
    <w:rsid w:val="00DF3BD0"/>
    <w:rsid w:val="00DF4DE8"/>
    <w:rsid w:val="00E1070F"/>
    <w:rsid w:val="00E132A7"/>
    <w:rsid w:val="00E466AE"/>
    <w:rsid w:val="00E55D87"/>
    <w:rsid w:val="00E5635D"/>
    <w:rsid w:val="00E6360A"/>
    <w:rsid w:val="00E666D2"/>
    <w:rsid w:val="00E80100"/>
    <w:rsid w:val="00E82B60"/>
    <w:rsid w:val="00E86BD3"/>
    <w:rsid w:val="00E944C6"/>
    <w:rsid w:val="00EA1FF3"/>
    <w:rsid w:val="00EA2624"/>
    <w:rsid w:val="00EA4A30"/>
    <w:rsid w:val="00EB006C"/>
    <w:rsid w:val="00EB3B30"/>
    <w:rsid w:val="00EC2F0C"/>
    <w:rsid w:val="00EF2A6B"/>
    <w:rsid w:val="00F01D53"/>
    <w:rsid w:val="00F02348"/>
    <w:rsid w:val="00F11593"/>
    <w:rsid w:val="00F124C4"/>
    <w:rsid w:val="00F15B00"/>
    <w:rsid w:val="00F171D0"/>
    <w:rsid w:val="00F32FA5"/>
    <w:rsid w:val="00F3551E"/>
    <w:rsid w:val="00F41485"/>
    <w:rsid w:val="00F43D64"/>
    <w:rsid w:val="00F53C5B"/>
    <w:rsid w:val="00F561FD"/>
    <w:rsid w:val="00F6035E"/>
    <w:rsid w:val="00F663C1"/>
    <w:rsid w:val="00F740AC"/>
    <w:rsid w:val="00F75CD5"/>
    <w:rsid w:val="00F92A91"/>
    <w:rsid w:val="00F93B98"/>
    <w:rsid w:val="00F94A2A"/>
    <w:rsid w:val="00FA03BA"/>
    <w:rsid w:val="00FB47AB"/>
    <w:rsid w:val="00FB769E"/>
    <w:rsid w:val="00FC5BFA"/>
    <w:rsid w:val="00FD201D"/>
    <w:rsid w:val="00FD4275"/>
    <w:rsid w:val="00FE3E10"/>
    <w:rsid w:val="00FF004A"/>
    <w:rsid w:val="00FF1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2DDCB"/>
  <w15:chartTrackingRefBased/>
  <w15:docId w15:val="{AC00C515-9540-4BA8-A97B-7CFA3840C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2A7"/>
    <w:pPr>
      <w:spacing w:after="200" w:line="276" w:lineRule="auto"/>
    </w:pPr>
  </w:style>
  <w:style w:type="paragraph" w:styleId="Heading1">
    <w:name w:val="heading 1"/>
    <w:basedOn w:val="Normal"/>
    <w:next w:val="Normal"/>
    <w:link w:val="Heading1Char"/>
    <w:uiPriority w:val="9"/>
    <w:qFormat/>
    <w:rsid w:val="008A5A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5A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5A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5A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5A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5A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A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A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A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A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5A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5A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5A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5A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5A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A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A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A22"/>
    <w:rPr>
      <w:rFonts w:eastAsiaTheme="majorEastAsia" w:cstheme="majorBidi"/>
      <w:color w:val="272727" w:themeColor="text1" w:themeTint="D8"/>
    </w:rPr>
  </w:style>
  <w:style w:type="paragraph" w:styleId="Title">
    <w:name w:val="Title"/>
    <w:basedOn w:val="Normal"/>
    <w:next w:val="Normal"/>
    <w:link w:val="TitleChar"/>
    <w:uiPriority w:val="10"/>
    <w:qFormat/>
    <w:rsid w:val="008A5A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A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A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A22"/>
    <w:pPr>
      <w:spacing w:before="160"/>
      <w:jc w:val="center"/>
    </w:pPr>
    <w:rPr>
      <w:i/>
      <w:iCs/>
      <w:color w:val="404040" w:themeColor="text1" w:themeTint="BF"/>
    </w:rPr>
  </w:style>
  <w:style w:type="character" w:customStyle="1" w:styleId="QuoteChar">
    <w:name w:val="Quote Char"/>
    <w:basedOn w:val="DefaultParagraphFont"/>
    <w:link w:val="Quote"/>
    <w:uiPriority w:val="29"/>
    <w:rsid w:val="008A5A22"/>
    <w:rPr>
      <w:i/>
      <w:iCs/>
      <w:color w:val="404040" w:themeColor="text1" w:themeTint="BF"/>
    </w:rPr>
  </w:style>
  <w:style w:type="paragraph" w:styleId="ListParagraph">
    <w:name w:val="List Paragraph"/>
    <w:basedOn w:val="Normal"/>
    <w:link w:val="ListParagraphChar"/>
    <w:uiPriority w:val="34"/>
    <w:qFormat/>
    <w:rsid w:val="008A5A22"/>
    <w:pPr>
      <w:ind w:left="720"/>
      <w:contextualSpacing/>
    </w:pPr>
  </w:style>
  <w:style w:type="character" w:styleId="IntenseEmphasis">
    <w:name w:val="Intense Emphasis"/>
    <w:basedOn w:val="DefaultParagraphFont"/>
    <w:uiPriority w:val="21"/>
    <w:qFormat/>
    <w:rsid w:val="008A5A22"/>
    <w:rPr>
      <w:i/>
      <w:iCs/>
      <w:color w:val="2F5496" w:themeColor="accent1" w:themeShade="BF"/>
    </w:rPr>
  </w:style>
  <w:style w:type="paragraph" w:styleId="IntenseQuote">
    <w:name w:val="Intense Quote"/>
    <w:basedOn w:val="Normal"/>
    <w:next w:val="Normal"/>
    <w:link w:val="IntenseQuoteChar"/>
    <w:uiPriority w:val="30"/>
    <w:qFormat/>
    <w:rsid w:val="008A5A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5A22"/>
    <w:rPr>
      <w:i/>
      <w:iCs/>
      <w:color w:val="2F5496" w:themeColor="accent1" w:themeShade="BF"/>
    </w:rPr>
  </w:style>
  <w:style w:type="character" w:styleId="IntenseReference">
    <w:name w:val="Intense Reference"/>
    <w:basedOn w:val="DefaultParagraphFont"/>
    <w:uiPriority w:val="32"/>
    <w:qFormat/>
    <w:rsid w:val="008A5A22"/>
    <w:rPr>
      <w:b/>
      <w:bCs/>
      <w:smallCaps/>
      <w:color w:val="2F5496" w:themeColor="accent1" w:themeShade="BF"/>
      <w:spacing w:val="5"/>
    </w:rPr>
  </w:style>
  <w:style w:type="character" w:customStyle="1" w:styleId="ListParagraphChar">
    <w:name w:val="List Paragraph Char"/>
    <w:link w:val="ListParagraph"/>
    <w:uiPriority w:val="34"/>
    <w:locked/>
    <w:rsid w:val="00E132A7"/>
  </w:style>
  <w:style w:type="paragraph" w:customStyle="1" w:styleId="Default">
    <w:name w:val="Default"/>
    <w:rsid w:val="009205D3"/>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C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2">
    <w:name w:val="pb-2"/>
    <w:basedOn w:val="Normal"/>
    <w:rsid w:val="004D77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6206A"/>
    <w:rPr>
      <w:color w:val="0563C1" w:themeColor="hyperlink"/>
      <w:u w:val="single"/>
    </w:rPr>
  </w:style>
  <w:style w:type="character" w:styleId="UnresolvedMention">
    <w:name w:val="Unresolved Mention"/>
    <w:basedOn w:val="DefaultParagraphFont"/>
    <w:uiPriority w:val="99"/>
    <w:semiHidden/>
    <w:unhideWhenUsed/>
    <w:rsid w:val="0066206A"/>
    <w:rPr>
      <w:color w:val="605E5C"/>
      <w:shd w:val="clear" w:color="auto" w:fill="E1DFDD"/>
    </w:rPr>
  </w:style>
  <w:style w:type="character" w:styleId="Emphasis">
    <w:name w:val="Emphasis"/>
    <w:basedOn w:val="DefaultParagraphFont"/>
    <w:uiPriority w:val="20"/>
    <w:qFormat/>
    <w:rsid w:val="00A37FD2"/>
    <w:rPr>
      <w:i/>
      <w:iCs/>
    </w:rPr>
  </w:style>
  <w:style w:type="paragraph" w:styleId="NoSpacing">
    <w:name w:val="No Spacing"/>
    <w:uiPriority w:val="1"/>
    <w:qFormat/>
    <w:rsid w:val="00F75CD5"/>
    <w:pPr>
      <w:spacing w:after="0" w:line="240" w:lineRule="auto"/>
    </w:pPr>
  </w:style>
  <w:style w:type="paragraph" w:styleId="Header">
    <w:name w:val="header"/>
    <w:basedOn w:val="Normal"/>
    <w:link w:val="HeaderChar"/>
    <w:uiPriority w:val="99"/>
    <w:unhideWhenUsed/>
    <w:rsid w:val="002807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735"/>
  </w:style>
  <w:style w:type="paragraph" w:styleId="Footer">
    <w:name w:val="footer"/>
    <w:basedOn w:val="Normal"/>
    <w:link w:val="FooterChar"/>
    <w:uiPriority w:val="99"/>
    <w:unhideWhenUsed/>
    <w:rsid w:val="002807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27038">
      <w:bodyDiv w:val="1"/>
      <w:marLeft w:val="0"/>
      <w:marRight w:val="0"/>
      <w:marTop w:val="0"/>
      <w:marBottom w:val="0"/>
      <w:divBdr>
        <w:top w:val="none" w:sz="0" w:space="0" w:color="auto"/>
        <w:left w:val="none" w:sz="0" w:space="0" w:color="auto"/>
        <w:bottom w:val="none" w:sz="0" w:space="0" w:color="auto"/>
        <w:right w:val="none" w:sz="0" w:space="0" w:color="auto"/>
      </w:divBdr>
      <w:divsChild>
        <w:div w:id="1572235008">
          <w:marLeft w:val="0"/>
          <w:marRight w:val="0"/>
          <w:marTop w:val="0"/>
          <w:marBottom w:val="0"/>
          <w:divBdr>
            <w:top w:val="none" w:sz="0" w:space="0" w:color="auto"/>
            <w:left w:val="none" w:sz="0" w:space="0" w:color="auto"/>
            <w:bottom w:val="single" w:sz="8" w:space="1" w:color="auto"/>
            <w:right w:val="none" w:sz="0" w:space="0" w:color="auto"/>
          </w:divBdr>
        </w:div>
      </w:divsChild>
    </w:div>
    <w:div w:id="1773473358">
      <w:bodyDiv w:val="1"/>
      <w:marLeft w:val="0"/>
      <w:marRight w:val="0"/>
      <w:marTop w:val="0"/>
      <w:marBottom w:val="0"/>
      <w:divBdr>
        <w:top w:val="none" w:sz="0" w:space="0" w:color="auto"/>
        <w:left w:val="none" w:sz="0" w:space="0" w:color="auto"/>
        <w:bottom w:val="none" w:sz="0" w:space="0" w:color="auto"/>
        <w:right w:val="none" w:sz="0" w:space="0" w:color="auto"/>
      </w:divBdr>
      <w:divsChild>
        <w:div w:id="350956039">
          <w:marLeft w:val="0"/>
          <w:marRight w:val="0"/>
          <w:marTop w:val="0"/>
          <w:marBottom w:val="0"/>
          <w:divBdr>
            <w:top w:val="none" w:sz="0" w:space="0" w:color="auto"/>
            <w:left w:val="none" w:sz="0" w:space="0" w:color="auto"/>
            <w:bottom w:val="single" w:sz="8" w:space="1" w:color="auto"/>
            <w:right w:val="none" w:sz="0" w:space="0" w:color="auto"/>
          </w:divBdr>
        </w:div>
      </w:divsChild>
    </w:div>
    <w:div w:id="1890680271">
      <w:bodyDiv w:val="1"/>
      <w:marLeft w:val="0"/>
      <w:marRight w:val="0"/>
      <w:marTop w:val="0"/>
      <w:marBottom w:val="0"/>
      <w:divBdr>
        <w:top w:val="none" w:sz="0" w:space="0" w:color="auto"/>
        <w:left w:val="none" w:sz="0" w:space="0" w:color="auto"/>
        <w:bottom w:val="none" w:sz="0" w:space="0" w:color="auto"/>
        <w:right w:val="none" w:sz="0" w:space="0" w:color="auto"/>
      </w:divBdr>
    </w:div>
    <w:div w:id="212442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2620</Words>
  <Characters>14149</Characters>
  <Application>Microsoft Office Word</Application>
  <DocSecurity>0</DocSecurity>
  <Lines>505</Lines>
  <Paragraphs>254</Paragraphs>
  <ScaleCrop>false</ScaleCrop>
  <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John (HUMBER TEACHING NHS FOUNDATION TRUST)</dc:creator>
  <cp:keywords/>
  <dc:description/>
  <cp:lastModifiedBy>DUNCAN, John (HUMBER TEACHING NHS FOUNDATION TRUST)</cp:lastModifiedBy>
  <cp:revision>3</cp:revision>
  <dcterms:created xsi:type="dcterms:W3CDTF">2025-04-22T08:12:00Z</dcterms:created>
  <dcterms:modified xsi:type="dcterms:W3CDTF">2025-05-16T09:43:00Z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f5e0f06f-0eae-4d8d-9f3f-3ab78493fa47</vt:lpwstr>
  </property>
</Properties>
</file>