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027" w14:textId="77777777" w:rsidR="00FD201D" w:rsidRDefault="00FD201D" w:rsidP="00FD201D">
      <w:pPr>
        <w:jc w:val="center"/>
        <w:rPr>
          <w:rFonts w:cstheme="minorHAnsi"/>
          <w:b/>
          <w:color w:val="0070C0"/>
          <w:sz w:val="36"/>
          <w:szCs w:val="36"/>
        </w:rPr>
      </w:pPr>
    </w:p>
    <w:p w14:paraId="3FB4B629" w14:textId="77777777" w:rsidR="00FD201D" w:rsidRDefault="00FD201D" w:rsidP="00FD201D">
      <w:pPr>
        <w:jc w:val="center"/>
        <w:rPr>
          <w:rFonts w:cstheme="minorHAnsi"/>
          <w:b/>
          <w:color w:val="0070C0"/>
          <w:sz w:val="36"/>
          <w:szCs w:val="36"/>
        </w:rPr>
      </w:pPr>
    </w:p>
    <w:p w14:paraId="7B467280" w14:textId="77777777" w:rsidR="00FD201D" w:rsidRDefault="00FD201D" w:rsidP="00FD201D">
      <w:pPr>
        <w:jc w:val="center"/>
        <w:rPr>
          <w:rFonts w:cstheme="minorHAnsi"/>
          <w:b/>
          <w:color w:val="0070C0"/>
          <w:sz w:val="36"/>
          <w:szCs w:val="36"/>
        </w:rPr>
      </w:pPr>
    </w:p>
    <w:p w14:paraId="65E7CF45" w14:textId="77777777" w:rsidR="00FD201D" w:rsidRDefault="00FD201D" w:rsidP="00FD201D">
      <w:pPr>
        <w:jc w:val="center"/>
        <w:rPr>
          <w:rFonts w:cstheme="minorHAnsi"/>
          <w:b/>
          <w:color w:val="0070C0"/>
          <w:sz w:val="36"/>
          <w:szCs w:val="36"/>
        </w:rPr>
      </w:pPr>
    </w:p>
    <w:p w14:paraId="7F03053F" w14:textId="77777777" w:rsidR="00FD201D" w:rsidRDefault="00FD201D" w:rsidP="00FD201D">
      <w:pPr>
        <w:jc w:val="center"/>
        <w:rPr>
          <w:rFonts w:cstheme="minorHAnsi"/>
          <w:b/>
          <w:color w:val="0070C0"/>
          <w:sz w:val="36"/>
          <w:szCs w:val="36"/>
        </w:rPr>
      </w:pPr>
    </w:p>
    <w:p w14:paraId="761B9D61" w14:textId="77777777" w:rsidR="00FD201D" w:rsidRDefault="00FD201D" w:rsidP="00FD201D">
      <w:pPr>
        <w:jc w:val="center"/>
        <w:rPr>
          <w:rFonts w:cstheme="minorHAnsi"/>
          <w:b/>
          <w:color w:val="0070C0"/>
          <w:sz w:val="36"/>
          <w:szCs w:val="36"/>
        </w:rPr>
      </w:pPr>
    </w:p>
    <w:p w14:paraId="230528AB" w14:textId="5E4EDE18" w:rsidR="00FD201D" w:rsidRPr="00EA6EFF" w:rsidRDefault="00FD201D" w:rsidP="00FD201D">
      <w:pPr>
        <w:jc w:val="center"/>
        <w:rPr>
          <w:rFonts w:cstheme="minorHAnsi"/>
          <w:b/>
          <w:color w:val="0070C0"/>
          <w:sz w:val="36"/>
          <w:szCs w:val="36"/>
        </w:rPr>
      </w:pPr>
      <w:r w:rsidRPr="00EA6EFF">
        <w:rPr>
          <w:rFonts w:cstheme="minorHAnsi"/>
          <w:b/>
          <w:color w:val="0070C0"/>
          <w:sz w:val="36"/>
          <w:szCs w:val="36"/>
        </w:rPr>
        <w:t xml:space="preserve">NHS Workforce </w:t>
      </w:r>
      <w:r w:rsidR="0079001C">
        <w:rPr>
          <w:rFonts w:cstheme="minorHAnsi"/>
          <w:b/>
          <w:color w:val="0070C0"/>
          <w:sz w:val="36"/>
          <w:szCs w:val="36"/>
        </w:rPr>
        <w:t>Disability</w:t>
      </w:r>
      <w:r w:rsidRPr="00EA6EFF">
        <w:rPr>
          <w:rFonts w:cstheme="minorHAnsi"/>
          <w:b/>
          <w:color w:val="0070C0"/>
          <w:sz w:val="36"/>
          <w:szCs w:val="36"/>
        </w:rPr>
        <w:t xml:space="preserve"> Equality Standard (W</w:t>
      </w:r>
      <w:r w:rsidR="0079001C">
        <w:rPr>
          <w:rFonts w:cstheme="minorHAnsi"/>
          <w:b/>
          <w:color w:val="0070C0"/>
          <w:sz w:val="36"/>
          <w:szCs w:val="36"/>
        </w:rPr>
        <w:t>D</w:t>
      </w:r>
      <w:r w:rsidRPr="00EA6EFF">
        <w:rPr>
          <w:rFonts w:cstheme="minorHAnsi"/>
          <w:b/>
          <w:color w:val="0070C0"/>
          <w:sz w:val="36"/>
          <w:szCs w:val="36"/>
        </w:rPr>
        <w:t>ES)</w:t>
      </w:r>
    </w:p>
    <w:p w14:paraId="17F5EE68" w14:textId="1798FDF8" w:rsidR="00FD201D" w:rsidRPr="00EA6EFF" w:rsidRDefault="00FD201D" w:rsidP="00FD201D">
      <w:pPr>
        <w:jc w:val="center"/>
        <w:rPr>
          <w:rFonts w:cstheme="minorHAnsi"/>
          <w:bCs/>
          <w:color w:val="00A49A"/>
          <w:sz w:val="36"/>
          <w:szCs w:val="36"/>
        </w:rPr>
      </w:pPr>
      <w:r w:rsidRPr="00EA6EFF">
        <w:rPr>
          <w:rFonts w:cstheme="minorHAnsi"/>
          <w:b/>
          <w:color w:val="0070C0"/>
          <w:sz w:val="36"/>
          <w:szCs w:val="36"/>
        </w:rPr>
        <w:br/>
      </w:r>
      <w:r w:rsidRPr="00EA6EFF">
        <w:rPr>
          <w:rFonts w:cstheme="minorHAnsi"/>
          <w:bCs/>
          <w:color w:val="00A49A"/>
          <w:sz w:val="36"/>
          <w:szCs w:val="36"/>
        </w:rPr>
        <w:t>Annual Report 202</w:t>
      </w:r>
      <w:r>
        <w:rPr>
          <w:rFonts w:cstheme="minorHAnsi"/>
          <w:bCs/>
          <w:color w:val="00A49A"/>
          <w:sz w:val="36"/>
          <w:szCs w:val="36"/>
        </w:rPr>
        <w:t>5</w:t>
      </w:r>
    </w:p>
    <w:p w14:paraId="1C2EBF90" w14:textId="77777777" w:rsidR="00FD201D" w:rsidRPr="00EA6EFF" w:rsidRDefault="00FD201D" w:rsidP="00FD201D">
      <w:pPr>
        <w:rPr>
          <w:rFonts w:cstheme="minorHAnsi"/>
          <w:b/>
          <w:color w:val="0070C0"/>
          <w:sz w:val="36"/>
          <w:szCs w:val="36"/>
        </w:rPr>
      </w:pPr>
    </w:p>
    <w:p w14:paraId="0E2CAAD2" w14:textId="4877B07C" w:rsidR="00280735" w:rsidRDefault="00FD201D" w:rsidP="00FD201D">
      <w:pPr>
        <w:spacing w:after="160" w:line="259" w:lineRule="auto"/>
        <w:jc w:val="center"/>
        <w:rPr>
          <w:rFonts w:cstheme="minorHAnsi"/>
          <w:bCs/>
          <w:sz w:val="36"/>
          <w:szCs w:val="36"/>
        </w:rPr>
      </w:pPr>
      <w:r w:rsidRPr="00EA6EFF">
        <w:rPr>
          <w:rFonts w:cstheme="minorHAnsi"/>
          <w:bCs/>
          <w:sz w:val="36"/>
          <w:szCs w:val="36"/>
        </w:rPr>
        <w:t>Humber Teaching NHS Foundation Trust</w:t>
      </w:r>
    </w:p>
    <w:p w14:paraId="1CE84DDF" w14:textId="17001F48" w:rsidR="00FD201D" w:rsidRDefault="00FD201D">
      <w:pPr>
        <w:spacing w:after="160" w:line="259" w:lineRule="auto"/>
        <w:rPr>
          <w:rFonts w:cstheme="minorHAnsi"/>
          <w:bCs/>
          <w:sz w:val="36"/>
          <w:szCs w:val="36"/>
        </w:rPr>
      </w:pPr>
      <w:r>
        <w:rPr>
          <w:rFonts w:cstheme="minorHAnsi"/>
          <w:bCs/>
          <w:sz w:val="36"/>
          <w:szCs w:val="36"/>
        </w:rPr>
        <w:br w:type="page"/>
      </w:r>
    </w:p>
    <w:p w14:paraId="7ABCDAA1"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48E40F36"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5BB92A9C"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68DEA184"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223310CC"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65FD8AC3"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73702D76"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0BB79E10"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2BDF1788" w14:textId="77777777" w:rsidR="0068556D" w:rsidRDefault="0068556D">
      <w:pPr>
        <w:spacing w:after="160" w:line="259" w:lineRule="auto"/>
        <w:rPr>
          <w:rFonts w:ascii="Arial" w:eastAsia="Times New Roman" w:hAnsi="Arial" w:cs="Arial"/>
          <w:b/>
          <w:bCs/>
          <w:color w:val="003087"/>
          <w:sz w:val="24"/>
          <w:szCs w:val="24"/>
          <w:lang w:eastAsia="en-GB"/>
        </w:rPr>
      </w:pPr>
    </w:p>
    <w:tbl>
      <w:tblPr>
        <w:tblStyle w:val="TableGrid"/>
        <w:tblW w:w="0" w:type="auto"/>
        <w:tblLook w:val="04A0" w:firstRow="1" w:lastRow="0" w:firstColumn="1" w:lastColumn="0" w:noHBand="0" w:noVBand="1"/>
      </w:tblPr>
      <w:tblGrid>
        <w:gridCol w:w="7225"/>
        <w:gridCol w:w="1791"/>
      </w:tblGrid>
      <w:tr w:rsidR="0068556D" w:rsidRPr="00EA6EFF" w14:paraId="767BE2E2" w14:textId="77777777" w:rsidTr="00556E41">
        <w:tc>
          <w:tcPr>
            <w:tcW w:w="7225" w:type="dxa"/>
          </w:tcPr>
          <w:p w14:paraId="62A205AA" w14:textId="77777777" w:rsidR="0068556D" w:rsidRPr="001A0657" w:rsidRDefault="0068556D" w:rsidP="00556E41">
            <w:pPr>
              <w:rPr>
                <w:rFonts w:ascii="Arial" w:hAnsi="Arial" w:cs="Arial"/>
              </w:rPr>
            </w:pPr>
          </w:p>
        </w:tc>
        <w:tc>
          <w:tcPr>
            <w:tcW w:w="1791" w:type="dxa"/>
          </w:tcPr>
          <w:p w14:paraId="7CC0409E" w14:textId="77777777" w:rsidR="0068556D" w:rsidRPr="001A0657" w:rsidRDefault="0068556D" w:rsidP="00556E41">
            <w:pPr>
              <w:rPr>
                <w:rFonts w:ascii="Arial" w:hAnsi="Arial" w:cs="Arial"/>
              </w:rPr>
            </w:pPr>
            <w:r w:rsidRPr="001A0657">
              <w:rPr>
                <w:rFonts w:ascii="Arial" w:hAnsi="Arial" w:cs="Arial"/>
              </w:rPr>
              <w:t>Page Number</w:t>
            </w:r>
          </w:p>
        </w:tc>
      </w:tr>
      <w:tr w:rsidR="0068556D" w:rsidRPr="00EA6EFF" w14:paraId="2E89427C" w14:textId="77777777" w:rsidTr="00556E41">
        <w:tc>
          <w:tcPr>
            <w:tcW w:w="7225" w:type="dxa"/>
          </w:tcPr>
          <w:p w14:paraId="09BBF11D" w14:textId="196B2FC7" w:rsidR="0068556D" w:rsidRPr="001A0657" w:rsidRDefault="0068556D" w:rsidP="001A0657">
            <w:pPr>
              <w:pStyle w:val="ListParagraph"/>
              <w:numPr>
                <w:ilvl w:val="0"/>
                <w:numId w:val="8"/>
              </w:numPr>
              <w:rPr>
                <w:rFonts w:ascii="Arial" w:hAnsi="Arial" w:cs="Arial"/>
              </w:rPr>
            </w:pPr>
            <w:r w:rsidRPr="001A0657">
              <w:rPr>
                <w:rFonts w:ascii="Arial" w:hAnsi="Arial" w:cs="Arial"/>
              </w:rPr>
              <w:t>Executive Summary</w:t>
            </w:r>
            <w:r w:rsidR="00280735">
              <w:rPr>
                <w:rFonts w:ascii="Arial" w:hAnsi="Arial" w:cs="Arial"/>
              </w:rPr>
              <w:t xml:space="preserve"> – Areas for Assurance and Focus</w:t>
            </w:r>
          </w:p>
        </w:tc>
        <w:tc>
          <w:tcPr>
            <w:tcW w:w="1791" w:type="dxa"/>
          </w:tcPr>
          <w:p w14:paraId="0A1DA680" w14:textId="77777777" w:rsidR="0068556D" w:rsidRPr="001A0657" w:rsidRDefault="0068556D" w:rsidP="00556E41">
            <w:pPr>
              <w:jc w:val="center"/>
              <w:rPr>
                <w:rFonts w:ascii="Arial" w:hAnsi="Arial" w:cs="Arial"/>
              </w:rPr>
            </w:pPr>
            <w:r w:rsidRPr="001A0657">
              <w:rPr>
                <w:rFonts w:ascii="Arial" w:hAnsi="Arial" w:cs="Arial"/>
              </w:rPr>
              <w:t>3</w:t>
            </w:r>
          </w:p>
        </w:tc>
      </w:tr>
      <w:tr w:rsidR="0068556D" w:rsidRPr="00EA6EFF" w14:paraId="5E05DD91" w14:textId="77777777" w:rsidTr="00556E41">
        <w:tc>
          <w:tcPr>
            <w:tcW w:w="7225" w:type="dxa"/>
          </w:tcPr>
          <w:p w14:paraId="62C85B8C" w14:textId="40CFF64B" w:rsidR="0068556D" w:rsidRPr="001A0657" w:rsidRDefault="0068556D" w:rsidP="001A0657">
            <w:pPr>
              <w:pStyle w:val="ListParagraph"/>
              <w:numPr>
                <w:ilvl w:val="0"/>
                <w:numId w:val="8"/>
              </w:numPr>
              <w:rPr>
                <w:rFonts w:ascii="Arial" w:hAnsi="Arial" w:cs="Arial"/>
              </w:rPr>
            </w:pPr>
            <w:r w:rsidRPr="001A0657">
              <w:rPr>
                <w:rFonts w:ascii="Arial" w:hAnsi="Arial" w:cs="Arial"/>
              </w:rPr>
              <w:t>Introduction</w:t>
            </w:r>
          </w:p>
        </w:tc>
        <w:tc>
          <w:tcPr>
            <w:tcW w:w="1791" w:type="dxa"/>
          </w:tcPr>
          <w:p w14:paraId="3B6CF528" w14:textId="77777777" w:rsidR="0068556D" w:rsidRPr="001A0657" w:rsidRDefault="0068556D" w:rsidP="00556E41">
            <w:pPr>
              <w:jc w:val="center"/>
              <w:rPr>
                <w:rFonts w:ascii="Arial" w:hAnsi="Arial" w:cs="Arial"/>
              </w:rPr>
            </w:pPr>
            <w:r w:rsidRPr="001A0657">
              <w:rPr>
                <w:rFonts w:ascii="Arial" w:hAnsi="Arial" w:cs="Arial"/>
              </w:rPr>
              <w:t>4</w:t>
            </w:r>
          </w:p>
        </w:tc>
      </w:tr>
      <w:tr w:rsidR="0068556D" w:rsidRPr="00EA6EFF" w14:paraId="141B3DD0" w14:textId="77777777" w:rsidTr="00556E41">
        <w:tc>
          <w:tcPr>
            <w:tcW w:w="7225" w:type="dxa"/>
          </w:tcPr>
          <w:p w14:paraId="2211DBF2" w14:textId="4D240638" w:rsidR="0068556D" w:rsidRPr="001A0657" w:rsidRDefault="001A0657" w:rsidP="001A0657">
            <w:pPr>
              <w:pStyle w:val="ListParagraph"/>
              <w:numPr>
                <w:ilvl w:val="0"/>
                <w:numId w:val="8"/>
              </w:numPr>
              <w:rPr>
                <w:rFonts w:ascii="Arial" w:hAnsi="Arial" w:cs="Arial"/>
              </w:rPr>
            </w:pPr>
            <w:r>
              <w:rPr>
                <w:rFonts w:ascii="Arial" w:eastAsia="Times New Roman" w:hAnsi="Arial" w:cs="Arial"/>
                <w:lang w:eastAsia="en-GB"/>
              </w:rPr>
              <w:t>Analysis of our</w:t>
            </w:r>
            <w:r w:rsidRPr="001A0657">
              <w:rPr>
                <w:rFonts w:ascii="Arial" w:eastAsia="Times New Roman" w:hAnsi="Arial" w:cs="Arial"/>
                <w:lang w:eastAsia="en-GB"/>
              </w:rPr>
              <w:t xml:space="preserve"> W</w:t>
            </w:r>
            <w:r w:rsidR="0079001C">
              <w:rPr>
                <w:rFonts w:ascii="Arial" w:eastAsia="Times New Roman" w:hAnsi="Arial" w:cs="Arial"/>
                <w:lang w:eastAsia="en-GB"/>
              </w:rPr>
              <w:t>D</w:t>
            </w:r>
            <w:r w:rsidRPr="001A0657">
              <w:rPr>
                <w:rFonts w:ascii="Arial" w:eastAsia="Times New Roman" w:hAnsi="Arial" w:cs="Arial"/>
                <w:lang w:eastAsia="en-GB"/>
              </w:rPr>
              <w:t>ES Outcomes for 2024</w:t>
            </w:r>
            <w:r w:rsidR="000D1F2C">
              <w:rPr>
                <w:rFonts w:ascii="Arial" w:eastAsia="Times New Roman" w:hAnsi="Arial" w:cs="Arial"/>
                <w:lang w:eastAsia="en-GB"/>
              </w:rPr>
              <w:t>/25</w:t>
            </w:r>
          </w:p>
        </w:tc>
        <w:tc>
          <w:tcPr>
            <w:tcW w:w="1791" w:type="dxa"/>
          </w:tcPr>
          <w:p w14:paraId="222F8558" w14:textId="6399A427" w:rsidR="0068556D" w:rsidRPr="001A0657" w:rsidRDefault="00104F67" w:rsidP="00556E41">
            <w:pPr>
              <w:jc w:val="center"/>
              <w:rPr>
                <w:rFonts w:ascii="Arial" w:hAnsi="Arial" w:cs="Arial"/>
              </w:rPr>
            </w:pPr>
            <w:r>
              <w:rPr>
                <w:rFonts w:ascii="Arial" w:hAnsi="Arial" w:cs="Arial"/>
              </w:rPr>
              <w:t>4</w:t>
            </w:r>
          </w:p>
        </w:tc>
      </w:tr>
      <w:tr w:rsidR="0068556D" w:rsidRPr="00EA6EFF" w14:paraId="29E77B53" w14:textId="77777777" w:rsidTr="00556E41">
        <w:tc>
          <w:tcPr>
            <w:tcW w:w="7225" w:type="dxa"/>
          </w:tcPr>
          <w:p w14:paraId="741F1AEB" w14:textId="2ED75A6D" w:rsidR="0068556D" w:rsidRPr="001A0657" w:rsidRDefault="001A0657" w:rsidP="001A0657">
            <w:pPr>
              <w:pStyle w:val="ListParagraph"/>
              <w:numPr>
                <w:ilvl w:val="0"/>
                <w:numId w:val="8"/>
              </w:numPr>
              <w:autoSpaceDE w:val="0"/>
              <w:autoSpaceDN w:val="0"/>
              <w:adjustRightInd w:val="0"/>
              <w:spacing w:before="100" w:beforeAutospacing="1" w:after="100" w:afterAutospacing="1" w:line="360" w:lineRule="auto"/>
              <w:rPr>
                <w:rFonts w:ascii="Arial" w:hAnsi="Arial" w:cs="Arial"/>
              </w:rPr>
            </w:pPr>
            <w:r w:rsidRPr="001A0657">
              <w:rPr>
                <w:rFonts w:ascii="Arial" w:hAnsi="Arial" w:cs="Arial"/>
              </w:rPr>
              <w:t xml:space="preserve">Our </w:t>
            </w:r>
            <w:r w:rsidR="0079001C">
              <w:rPr>
                <w:rFonts w:ascii="Arial" w:hAnsi="Arial" w:cs="Arial"/>
              </w:rPr>
              <w:t>Disability</w:t>
            </w:r>
            <w:r w:rsidRPr="001A0657">
              <w:rPr>
                <w:rFonts w:ascii="Arial" w:hAnsi="Arial" w:cs="Arial"/>
              </w:rPr>
              <w:t xml:space="preserve"> Equity Work Over the Past 12 Months</w:t>
            </w:r>
          </w:p>
        </w:tc>
        <w:tc>
          <w:tcPr>
            <w:tcW w:w="1791" w:type="dxa"/>
          </w:tcPr>
          <w:p w14:paraId="685898B6" w14:textId="30BBE6D7" w:rsidR="0068556D" w:rsidRPr="001A0657" w:rsidRDefault="00280735" w:rsidP="00556E41">
            <w:pPr>
              <w:jc w:val="center"/>
              <w:rPr>
                <w:rFonts w:ascii="Arial" w:hAnsi="Arial" w:cs="Arial"/>
              </w:rPr>
            </w:pPr>
            <w:r>
              <w:rPr>
                <w:rFonts w:ascii="Arial" w:hAnsi="Arial" w:cs="Arial"/>
              </w:rPr>
              <w:t>6</w:t>
            </w:r>
          </w:p>
        </w:tc>
      </w:tr>
      <w:tr w:rsidR="0068556D" w:rsidRPr="00EA6EFF" w14:paraId="740C3B17" w14:textId="77777777" w:rsidTr="00556E41">
        <w:tc>
          <w:tcPr>
            <w:tcW w:w="7225" w:type="dxa"/>
          </w:tcPr>
          <w:p w14:paraId="3072E6A3" w14:textId="4977D02D" w:rsidR="0068556D" w:rsidRPr="001A0657" w:rsidRDefault="001A0657" w:rsidP="001A0657">
            <w:pPr>
              <w:pStyle w:val="ListParagraph"/>
              <w:numPr>
                <w:ilvl w:val="0"/>
                <w:numId w:val="8"/>
              </w:numPr>
              <w:rPr>
                <w:rFonts w:ascii="Arial" w:hAnsi="Arial" w:cs="Arial"/>
              </w:rPr>
            </w:pPr>
            <w:r w:rsidRPr="001A0657">
              <w:rPr>
                <w:rFonts w:ascii="Arial" w:hAnsi="Arial" w:cs="Arial"/>
              </w:rPr>
              <w:t>2025 W</w:t>
            </w:r>
            <w:r w:rsidR="0079001C">
              <w:rPr>
                <w:rFonts w:ascii="Arial" w:hAnsi="Arial" w:cs="Arial"/>
              </w:rPr>
              <w:t>D</w:t>
            </w:r>
            <w:r w:rsidRPr="001A0657">
              <w:rPr>
                <w:rFonts w:ascii="Arial" w:hAnsi="Arial" w:cs="Arial"/>
              </w:rPr>
              <w:t>ES Action Plan to Address Areas of Focus</w:t>
            </w:r>
          </w:p>
        </w:tc>
        <w:tc>
          <w:tcPr>
            <w:tcW w:w="1791" w:type="dxa"/>
          </w:tcPr>
          <w:p w14:paraId="4306B9A1" w14:textId="0FFC3DEB" w:rsidR="0068556D" w:rsidRPr="001A0657" w:rsidRDefault="00104F67" w:rsidP="00556E41">
            <w:pPr>
              <w:jc w:val="center"/>
              <w:rPr>
                <w:rFonts w:ascii="Arial" w:hAnsi="Arial" w:cs="Arial"/>
              </w:rPr>
            </w:pPr>
            <w:r>
              <w:rPr>
                <w:rFonts w:ascii="Arial" w:hAnsi="Arial" w:cs="Arial"/>
              </w:rPr>
              <w:t>8</w:t>
            </w:r>
          </w:p>
        </w:tc>
      </w:tr>
      <w:tr w:rsidR="0068556D" w:rsidRPr="00EA6EFF" w14:paraId="70769711" w14:textId="77777777" w:rsidTr="00556E41">
        <w:tc>
          <w:tcPr>
            <w:tcW w:w="7225" w:type="dxa"/>
          </w:tcPr>
          <w:p w14:paraId="38BC3D1A" w14:textId="159042CC" w:rsidR="0068556D" w:rsidRPr="001A0657" w:rsidRDefault="0068556D" w:rsidP="001A0657">
            <w:pPr>
              <w:pStyle w:val="ListParagraph"/>
              <w:numPr>
                <w:ilvl w:val="0"/>
                <w:numId w:val="8"/>
              </w:numPr>
              <w:rPr>
                <w:rFonts w:ascii="Arial" w:eastAsia="Calibri" w:hAnsi="Arial" w:cs="Arial"/>
              </w:rPr>
            </w:pPr>
            <w:r w:rsidRPr="001A0657">
              <w:rPr>
                <w:rFonts w:ascii="Arial" w:eastAsia="Calibri" w:hAnsi="Arial" w:cs="Arial"/>
              </w:rPr>
              <w:t>Appendix 1: Data Sources</w:t>
            </w:r>
          </w:p>
        </w:tc>
        <w:tc>
          <w:tcPr>
            <w:tcW w:w="1791" w:type="dxa"/>
          </w:tcPr>
          <w:p w14:paraId="2880CE49" w14:textId="2D174D61" w:rsidR="0068556D" w:rsidRPr="001A0657" w:rsidRDefault="00104F67" w:rsidP="00556E41">
            <w:pPr>
              <w:jc w:val="center"/>
              <w:rPr>
                <w:rFonts w:ascii="Arial" w:hAnsi="Arial" w:cs="Arial"/>
              </w:rPr>
            </w:pPr>
            <w:r>
              <w:rPr>
                <w:rFonts w:ascii="Arial" w:hAnsi="Arial" w:cs="Arial"/>
              </w:rPr>
              <w:t>9</w:t>
            </w:r>
          </w:p>
        </w:tc>
      </w:tr>
    </w:tbl>
    <w:p w14:paraId="670E3FD4" w14:textId="28B3A0CD" w:rsidR="0068556D" w:rsidRDefault="0068556D">
      <w:pPr>
        <w:spacing w:after="160" w:line="259" w:lineRule="auto"/>
        <w:rPr>
          <w:rFonts w:ascii="Arial" w:eastAsia="Times New Roman" w:hAnsi="Arial" w:cs="Arial"/>
          <w:b/>
          <w:bCs/>
          <w:color w:val="003087"/>
          <w:sz w:val="24"/>
          <w:szCs w:val="24"/>
          <w:lang w:eastAsia="en-GB"/>
        </w:rPr>
      </w:pPr>
    </w:p>
    <w:p w14:paraId="606B067D" w14:textId="77777777" w:rsidR="0068556D" w:rsidRDefault="0068556D">
      <w:pPr>
        <w:spacing w:after="160" w:line="259" w:lineRule="auto"/>
        <w:rPr>
          <w:rFonts w:ascii="Arial" w:eastAsia="Times New Roman" w:hAnsi="Arial" w:cs="Arial"/>
          <w:b/>
          <w:bCs/>
          <w:color w:val="003087"/>
          <w:sz w:val="24"/>
          <w:szCs w:val="24"/>
          <w:lang w:eastAsia="en-GB"/>
        </w:rPr>
      </w:pPr>
      <w:r>
        <w:rPr>
          <w:rFonts w:ascii="Arial" w:eastAsia="Times New Roman" w:hAnsi="Arial" w:cs="Arial"/>
          <w:b/>
          <w:bCs/>
          <w:color w:val="003087"/>
          <w:sz w:val="24"/>
          <w:szCs w:val="24"/>
          <w:lang w:eastAsia="en-GB"/>
        </w:rPr>
        <w:br w:type="page"/>
      </w:r>
    </w:p>
    <w:p w14:paraId="221A34B0" w14:textId="2A24CA20" w:rsidR="00E132A7" w:rsidRPr="00C57C8D" w:rsidRDefault="00E132A7" w:rsidP="002412B6">
      <w:pPr>
        <w:pBdr>
          <w:bottom w:val="single" w:sz="4" w:space="1" w:color="auto"/>
        </w:pBdr>
        <w:spacing w:before="100" w:beforeAutospacing="1" w:after="100" w:afterAutospacing="1" w:line="360" w:lineRule="auto"/>
        <w:textAlignment w:val="baseline"/>
        <w:outlineLvl w:val="1"/>
        <w:rPr>
          <w:rFonts w:ascii="Arial" w:eastAsia="Times New Roman" w:hAnsi="Arial" w:cs="Arial"/>
          <w:b/>
          <w:bCs/>
          <w:color w:val="003087"/>
          <w:sz w:val="24"/>
          <w:szCs w:val="24"/>
          <w:lang w:eastAsia="en-GB"/>
        </w:rPr>
      </w:pPr>
      <w:r w:rsidRPr="00C57C8D">
        <w:rPr>
          <w:rFonts w:ascii="Arial" w:eastAsia="Times New Roman" w:hAnsi="Arial" w:cs="Arial"/>
          <w:b/>
          <w:bCs/>
          <w:color w:val="003087"/>
          <w:sz w:val="24"/>
          <w:szCs w:val="24"/>
          <w:lang w:eastAsia="en-GB"/>
        </w:rPr>
        <w:lastRenderedPageBreak/>
        <w:t>1. Executive Summary</w:t>
      </w:r>
    </w:p>
    <w:p w14:paraId="1508A0C9" w14:textId="64CE5636" w:rsidR="0068059A" w:rsidRPr="00C57C8D" w:rsidRDefault="00D76471" w:rsidP="002412B6">
      <w:p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The Trust has improved in </w:t>
      </w:r>
      <w:r w:rsidR="00CB20C5">
        <w:rPr>
          <w:rFonts w:ascii="Arial" w:eastAsia="Times New Roman" w:hAnsi="Arial" w:cs="Arial"/>
          <w:lang w:eastAsia="en-GB"/>
        </w:rPr>
        <w:t>seven out of ten</w:t>
      </w:r>
      <w:r w:rsidRPr="00C57C8D">
        <w:rPr>
          <w:rFonts w:ascii="Arial" w:eastAsia="Times New Roman" w:hAnsi="Arial" w:cs="Arial"/>
          <w:lang w:eastAsia="en-GB"/>
        </w:rPr>
        <w:t xml:space="preserve"> W</w:t>
      </w:r>
      <w:r w:rsidR="00E55D87">
        <w:rPr>
          <w:rFonts w:ascii="Arial" w:eastAsia="Times New Roman" w:hAnsi="Arial" w:cs="Arial"/>
          <w:lang w:eastAsia="en-GB"/>
        </w:rPr>
        <w:t xml:space="preserve">orkforce </w:t>
      </w:r>
      <w:r w:rsidR="0069135C">
        <w:rPr>
          <w:rFonts w:ascii="Arial" w:eastAsia="Times New Roman" w:hAnsi="Arial" w:cs="Arial"/>
          <w:lang w:eastAsia="en-GB"/>
        </w:rPr>
        <w:t>Disability</w:t>
      </w:r>
      <w:r w:rsidR="00E55D87">
        <w:rPr>
          <w:rFonts w:ascii="Arial" w:eastAsia="Times New Roman" w:hAnsi="Arial" w:cs="Arial"/>
          <w:lang w:eastAsia="en-GB"/>
        </w:rPr>
        <w:t xml:space="preserve"> </w:t>
      </w:r>
      <w:r w:rsidRPr="00C57C8D">
        <w:rPr>
          <w:rFonts w:ascii="Arial" w:eastAsia="Times New Roman" w:hAnsi="Arial" w:cs="Arial"/>
          <w:lang w:eastAsia="en-GB"/>
        </w:rPr>
        <w:t>E</w:t>
      </w:r>
      <w:r w:rsidR="00E55D87">
        <w:rPr>
          <w:rFonts w:ascii="Arial" w:eastAsia="Times New Roman" w:hAnsi="Arial" w:cs="Arial"/>
          <w:lang w:eastAsia="en-GB"/>
        </w:rPr>
        <w:t xml:space="preserve">quality </w:t>
      </w:r>
      <w:r w:rsidRPr="00C57C8D">
        <w:rPr>
          <w:rFonts w:ascii="Arial" w:eastAsia="Times New Roman" w:hAnsi="Arial" w:cs="Arial"/>
          <w:lang w:eastAsia="en-GB"/>
        </w:rPr>
        <w:t>S</w:t>
      </w:r>
      <w:r w:rsidR="00E55D87">
        <w:rPr>
          <w:rFonts w:ascii="Arial" w:eastAsia="Times New Roman" w:hAnsi="Arial" w:cs="Arial"/>
          <w:lang w:eastAsia="en-GB"/>
        </w:rPr>
        <w:t>tandard (W</w:t>
      </w:r>
      <w:r w:rsidR="00CB20C5">
        <w:rPr>
          <w:rFonts w:ascii="Arial" w:eastAsia="Times New Roman" w:hAnsi="Arial" w:cs="Arial"/>
          <w:lang w:eastAsia="en-GB"/>
        </w:rPr>
        <w:t>D</w:t>
      </w:r>
      <w:r w:rsidR="00E55D87">
        <w:rPr>
          <w:rFonts w:ascii="Arial" w:eastAsia="Times New Roman" w:hAnsi="Arial" w:cs="Arial"/>
          <w:lang w:eastAsia="en-GB"/>
        </w:rPr>
        <w:t>ES)</w:t>
      </w:r>
      <w:r w:rsidRPr="00C57C8D">
        <w:rPr>
          <w:rFonts w:ascii="Arial" w:eastAsia="Times New Roman" w:hAnsi="Arial" w:cs="Arial"/>
          <w:lang w:eastAsia="en-GB"/>
        </w:rPr>
        <w:t xml:space="preserve"> indicators compared to the previous year's figures. Seven of these indicators have surpassed national comparison figures, highlighting </w:t>
      </w:r>
      <w:r w:rsidR="00C57C8D" w:rsidRPr="00C57C8D">
        <w:rPr>
          <w:rFonts w:ascii="Arial" w:eastAsia="Times New Roman" w:hAnsi="Arial" w:cs="Arial"/>
          <w:lang w:eastAsia="en-GB"/>
        </w:rPr>
        <w:t>areas</w:t>
      </w:r>
      <w:r w:rsidRPr="00C57C8D">
        <w:rPr>
          <w:rFonts w:ascii="Arial" w:eastAsia="Times New Roman" w:hAnsi="Arial" w:cs="Arial"/>
          <w:lang w:eastAsia="en-GB"/>
        </w:rPr>
        <w:t xml:space="preserve"> </w:t>
      </w:r>
      <w:r w:rsidR="00CD33EE">
        <w:rPr>
          <w:rFonts w:ascii="Arial" w:eastAsia="Times New Roman" w:hAnsi="Arial" w:cs="Arial"/>
          <w:lang w:eastAsia="en-GB"/>
        </w:rPr>
        <w:t xml:space="preserve">of focus </w:t>
      </w:r>
      <w:r w:rsidRPr="00C57C8D">
        <w:rPr>
          <w:rFonts w:ascii="Arial" w:eastAsia="Times New Roman" w:hAnsi="Arial" w:cs="Arial"/>
          <w:lang w:eastAsia="en-GB"/>
        </w:rPr>
        <w:t>moving forward.</w:t>
      </w:r>
    </w:p>
    <w:p w14:paraId="55C82FBB" w14:textId="104ED8E1" w:rsidR="00703B53" w:rsidRPr="00C57C8D" w:rsidRDefault="00703B53" w:rsidP="002412B6">
      <w:pPr>
        <w:spacing w:before="100" w:beforeAutospacing="1" w:after="100" w:afterAutospacing="1" w:line="360" w:lineRule="auto"/>
        <w:textAlignment w:val="baseline"/>
        <w:outlineLvl w:val="1"/>
        <w:rPr>
          <w:rFonts w:ascii="Arial" w:eastAsia="Times New Roman" w:hAnsi="Arial" w:cs="Arial"/>
          <w:b/>
          <w:bCs/>
          <w:lang w:eastAsia="en-GB"/>
        </w:rPr>
      </w:pPr>
      <w:r w:rsidRPr="00C57C8D">
        <w:rPr>
          <w:rFonts w:ascii="Arial" w:eastAsia="Times New Roman" w:hAnsi="Arial" w:cs="Arial"/>
          <w:b/>
          <w:bCs/>
          <w:lang w:eastAsia="en-GB"/>
        </w:rPr>
        <w:t>Areas for Assurance</w:t>
      </w:r>
    </w:p>
    <w:p w14:paraId="7748058C" w14:textId="12D18558" w:rsidR="006A6199" w:rsidRPr="00C57C8D" w:rsidRDefault="00891A67"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For W</w:t>
      </w:r>
      <w:r w:rsidR="00E057C7">
        <w:rPr>
          <w:rFonts w:ascii="Arial" w:eastAsia="Times New Roman" w:hAnsi="Arial" w:cs="Arial"/>
          <w:lang w:eastAsia="en-GB"/>
        </w:rPr>
        <w:t>D</w:t>
      </w:r>
      <w:r w:rsidRPr="00C57C8D">
        <w:rPr>
          <w:rFonts w:ascii="Arial" w:eastAsia="Times New Roman" w:hAnsi="Arial" w:cs="Arial"/>
          <w:lang w:eastAsia="en-GB"/>
        </w:rPr>
        <w:t xml:space="preserve">ES Indicator </w:t>
      </w:r>
      <w:r w:rsidR="002B1DFC" w:rsidRPr="00C57C8D">
        <w:rPr>
          <w:rFonts w:ascii="Arial" w:eastAsia="Times New Roman" w:hAnsi="Arial" w:cs="Arial"/>
          <w:lang w:eastAsia="en-GB"/>
        </w:rPr>
        <w:t xml:space="preserve">1, which analyses the </w:t>
      </w:r>
      <w:r w:rsidR="00F6035E" w:rsidRPr="00C57C8D">
        <w:rPr>
          <w:rFonts w:ascii="Arial" w:eastAsia="Times New Roman" w:hAnsi="Arial" w:cs="Arial"/>
          <w:lang w:eastAsia="en-GB"/>
        </w:rPr>
        <w:t>representation</w:t>
      </w:r>
      <w:r w:rsidR="002B1DFC" w:rsidRPr="00C57C8D">
        <w:rPr>
          <w:rFonts w:ascii="Arial" w:eastAsia="Times New Roman" w:hAnsi="Arial" w:cs="Arial"/>
          <w:lang w:eastAsia="en-GB"/>
        </w:rPr>
        <w:t xml:space="preserve"> of </w:t>
      </w:r>
      <w:r w:rsidR="00E057C7">
        <w:rPr>
          <w:rFonts w:ascii="Arial" w:eastAsia="Times New Roman" w:hAnsi="Arial" w:cs="Arial"/>
          <w:lang w:eastAsia="en-GB"/>
        </w:rPr>
        <w:t>disabled</w:t>
      </w:r>
      <w:r w:rsidR="002B1DFC" w:rsidRPr="00C57C8D">
        <w:rPr>
          <w:rFonts w:ascii="Arial" w:eastAsia="Times New Roman" w:hAnsi="Arial" w:cs="Arial"/>
          <w:lang w:eastAsia="en-GB"/>
        </w:rPr>
        <w:t xml:space="preserve"> staff across the pay bands</w:t>
      </w:r>
      <w:r w:rsidR="008D3A8F" w:rsidRPr="00C57C8D">
        <w:rPr>
          <w:rFonts w:ascii="Arial" w:eastAsia="Times New Roman" w:hAnsi="Arial" w:cs="Arial"/>
          <w:lang w:eastAsia="en-GB"/>
        </w:rPr>
        <w:t xml:space="preserve">, we have seen a </w:t>
      </w:r>
      <w:r w:rsidR="00E057C7">
        <w:rPr>
          <w:rFonts w:ascii="Arial" w:eastAsia="Times New Roman" w:hAnsi="Arial" w:cs="Arial"/>
          <w:lang w:eastAsia="en-GB"/>
        </w:rPr>
        <w:t>20</w:t>
      </w:r>
      <w:r w:rsidR="008D3A8F" w:rsidRPr="00C57C8D">
        <w:rPr>
          <w:rFonts w:ascii="Arial" w:eastAsia="Times New Roman" w:hAnsi="Arial" w:cs="Arial"/>
          <w:lang w:eastAsia="en-GB"/>
        </w:rPr>
        <w:t xml:space="preserve">% improvement </w:t>
      </w:r>
      <w:r w:rsidR="00F6035E" w:rsidRPr="00C57C8D">
        <w:rPr>
          <w:rFonts w:ascii="Arial" w:eastAsia="Times New Roman" w:hAnsi="Arial" w:cs="Arial"/>
          <w:lang w:eastAsia="en-GB"/>
        </w:rPr>
        <w:t>in</w:t>
      </w:r>
      <w:r w:rsidR="008D3A8F" w:rsidRPr="00C57C8D">
        <w:rPr>
          <w:rFonts w:ascii="Arial" w:eastAsia="Times New Roman" w:hAnsi="Arial" w:cs="Arial"/>
          <w:lang w:eastAsia="en-GB"/>
        </w:rPr>
        <w:t xml:space="preserve"> </w:t>
      </w:r>
      <w:r w:rsidR="00E057C7">
        <w:rPr>
          <w:rFonts w:ascii="Arial" w:eastAsia="Times New Roman" w:hAnsi="Arial" w:cs="Arial"/>
          <w:lang w:eastAsia="en-GB"/>
        </w:rPr>
        <w:t>disabled</w:t>
      </w:r>
      <w:r w:rsidR="008D3A8F" w:rsidRPr="00C57C8D">
        <w:rPr>
          <w:rFonts w:ascii="Arial" w:eastAsia="Times New Roman" w:hAnsi="Arial" w:cs="Arial"/>
          <w:lang w:eastAsia="en-GB"/>
        </w:rPr>
        <w:t xml:space="preserve"> staff </w:t>
      </w:r>
      <w:r w:rsidR="00F6035E" w:rsidRPr="00C57C8D">
        <w:rPr>
          <w:rFonts w:ascii="Arial" w:eastAsia="Times New Roman" w:hAnsi="Arial" w:cs="Arial"/>
          <w:lang w:eastAsia="en-GB"/>
        </w:rPr>
        <w:t xml:space="preserve">working </w:t>
      </w:r>
      <w:r w:rsidR="008D3A8F" w:rsidRPr="00C57C8D">
        <w:rPr>
          <w:rFonts w:ascii="Arial" w:eastAsia="Times New Roman" w:hAnsi="Arial" w:cs="Arial"/>
          <w:lang w:eastAsia="en-GB"/>
        </w:rPr>
        <w:t xml:space="preserve">in clinical and </w:t>
      </w:r>
      <w:r w:rsidR="00F6035E" w:rsidRPr="00C57C8D">
        <w:rPr>
          <w:rFonts w:ascii="Arial" w:eastAsia="Times New Roman" w:hAnsi="Arial" w:cs="Arial"/>
          <w:lang w:eastAsia="en-GB"/>
        </w:rPr>
        <w:t>non-clinical</w:t>
      </w:r>
      <w:r w:rsidR="008D3A8F" w:rsidRPr="00C57C8D">
        <w:rPr>
          <w:rFonts w:ascii="Arial" w:eastAsia="Times New Roman" w:hAnsi="Arial" w:cs="Arial"/>
          <w:lang w:eastAsia="en-GB"/>
        </w:rPr>
        <w:t xml:space="preserve"> roles of band </w:t>
      </w:r>
      <w:r w:rsidR="00E057C7">
        <w:rPr>
          <w:rFonts w:ascii="Arial" w:eastAsia="Times New Roman" w:hAnsi="Arial" w:cs="Arial"/>
          <w:lang w:eastAsia="en-GB"/>
        </w:rPr>
        <w:t>8c</w:t>
      </w:r>
      <w:r w:rsidR="008D3A8F" w:rsidRPr="00C57C8D">
        <w:rPr>
          <w:rFonts w:ascii="Arial" w:eastAsia="Times New Roman" w:hAnsi="Arial" w:cs="Arial"/>
          <w:lang w:eastAsia="en-GB"/>
        </w:rPr>
        <w:t xml:space="preserve"> and above</w:t>
      </w:r>
      <w:r w:rsidR="00F6035E" w:rsidRPr="00C57C8D">
        <w:rPr>
          <w:rFonts w:ascii="Arial" w:eastAsia="Times New Roman" w:hAnsi="Arial" w:cs="Arial"/>
          <w:lang w:eastAsia="en-GB"/>
        </w:rPr>
        <w:t>.</w:t>
      </w:r>
      <w:r w:rsidR="007047CB" w:rsidRPr="00C57C8D">
        <w:rPr>
          <w:rFonts w:ascii="Arial" w:eastAsia="Times New Roman" w:hAnsi="Arial" w:cs="Arial"/>
          <w:lang w:eastAsia="en-GB"/>
        </w:rPr>
        <w:t xml:space="preserve"> </w:t>
      </w:r>
      <w:r w:rsidR="006A6199" w:rsidRPr="00C57C8D">
        <w:rPr>
          <w:rFonts w:ascii="Arial" w:eastAsia="Times New Roman" w:hAnsi="Arial" w:cs="Arial"/>
          <w:lang w:eastAsia="en-GB"/>
        </w:rPr>
        <w:t>Similarly</w:t>
      </w:r>
      <w:r w:rsidR="007047CB" w:rsidRPr="00C57C8D">
        <w:rPr>
          <w:rFonts w:ascii="Arial" w:eastAsia="Times New Roman" w:hAnsi="Arial" w:cs="Arial"/>
          <w:lang w:eastAsia="en-GB"/>
        </w:rPr>
        <w:t xml:space="preserve">, we have seen an improvement </w:t>
      </w:r>
      <w:r w:rsidR="006A6199" w:rsidRPr="00C57C8D">
        <w:rPr>
          <w:rFonts w:ascii="Arial" w:eastAsia="Times New Roman" w:hAnsi="Arial" w:cs="Arial"/>
          <w:lang w:eastAsia="en-GB"/>
        </w:rPr>
        <w:t>in</w:t>
      </w:r>
      <w:r w:rsidR="007047CB" w:rsidRPr="00C57C8D">
        <w:rPr>
          <w:rFonts w:ascii="Arial" w:eastAsia="Times New Roman" w:hAnsi="Arial" w:cs="Arial"/>
          <w:lang w:eastAsia="en-GB"/>
        </w:rPr>
        <w:t xml:space="preserve"> </w:t>
      </w:r>
      <w:r w:rsidR="00267383">
        <w:rPr>
          <w:rFonts w:ascii="Arial" w:eastAsia="Times New Roman" w:hAnsi="Arial" w:cs="Arial"/>
          <w:lang w:eastAsia="en-GB"/>
        </w:rPr>
        <w:t>disability</w:t>
      </w:r>
      <w:r w:rsidR="007047CB" w:rsidRPr="00C57C8D">
        <w:rPr>
          <w:rFonts w:ascii="Arial" w:eastAsia="Times New Roman" w:hAnsi="Arial" w:cs="Arial"/>
          <w:lang w:eastAsia="en-GB"/>
        </w:rPr>
        <w:t xml:space="preserve"> representation across the workforce, with </w:t>
      </w:r>
      <w:r w:rsidR="006A6199" w:rsidRPr="00C57C8D">
        <w:rPr>
          <w:rFonts w:ascii="Arial" w:eastAsia="Times New Roman" w:hAnsi="Arial" w:cs="Arial"/>
          <w:lang w:eastAsia="en-GB"/>
        </w:rPr>
        <w:t xml:space="preserve">year-on-year improvements </w:t>
      </w:r>
      <w:r w:rsidR="00030EDA" w:rsidRPr="00C57C8D">
        <w:rPr>
          <w:rFonts w:ascii="Arial" w:eastAsia="Times New Roman" w:hAnsi="Arial" w:cs="Arial"/>
          <w:lang w:eastAsia="en-GB"/>
        </w:rPr>
        <w:t>since 2019, when the figure was</w:t>
      </w:r>
      <w:r w:rsidR="006A6199" w:rsidRPr="00C57C8D">
        <w:rPr>
          <w:rFonts w:ascii="Arial" w:eastAsia="Times New Roman" w:hAnsi="Arial" w:cs="Arial"/>
          <w:lang w:eastAsia="en-GB"/>
        </w:rPr>
        <w:t xml:space="preserve"> </w:t>
      </w:r>
      <w:r w:rsidR="006A6199" w:rsidRPr="00C57C8D">
        <w:rPr>
          <w:rFonts w:ascii="Arial" w:hAnsi="Arial" w:cs="Arial"/>
        </w:rPr>
        <w:t>3.</w:t>
      </w:r>
      <w:r w:rsidR="001C3B56">
        <w:rPr>
          <w:rFonts w:ascii="Arial" w:hAnsi="Arial" w:cs="Arial"/>
        </w:rPr>
        <w:t>9</w:t>
      </w:r>
      <w:r w:rsidR="006A6199" w:rsidRPr="00C57C8D">
        <w:rPr>
          <w:rFonts w:ascii="Arial" w:hAnsi="Arial" w:cs="Arial"/>
        </w:rPr>
        <w:t xml:space="preserve">%, rising to </w:t>
      </w:r>
      <w:r w:rsidR="00267383">
        <w:rPr>
          <w:rFonts w:ascii="Arial" w:hAnsi="Arial" w:cs="Arial"/>
        </w:rPr>
        <w:t>10.05</w:t>
      </w:r>
      <w:r w:rsidR="006A6199" w:rsidRPr="00C57C8D">
        <w:rPr>
          <w:rFonts w:ascii="Arial" w:hAnsi="Arial" w:cs="Arial"/>
        </w:rPr>
        <w:t xml:space="preserve">% in </w:t>
      </w:r>
      <w:r w:rsidR="00432C3F" w:rsidRPr="00C57C8D">
        <w:rPr>
          <w:rFonts w:ascii="Arial" w:hAnsi="Arial" w:cs="Arial"/>
        </w:rPr>
        <w:t xml:space="preserve">March </w:t>
      </w:r>
      <w:r w:rsidR="006A6199" w:rsidRPr="00C57C8D">
        <w:rPr>
          <w:rFonts w:ascii="Arial" w:hAnsi="Arial" w:cs="Arial"/>
        </w:rPr>
        <w:t>2025.</w:t>
      </w:r>
    </w:p>
    <w:p w14:paraId="3BE67A1D" w14:textId="77777777" w:rsidR="00851621" w:rsidRPr="00C57C8D" w:rsidRDefault="00851621" w:rsidP="002412B6">
      <w:pPr>
        <w:pStyle w:val="ListParagraph"/>
        <w:spacing w:before="100" w:beforeAutospacing="1" w:after="100" w:afterAutospacing="1" w:line="360" w:lineRule="auto"/>
        <w:textAlignment w:val="baseline"/>
        <w:outlineLvl w:val="1"/>
        <w:rPr>
          <w:rFonts w:ascii="Arial" w:eastAsia="Times New Roman" w:hAnsi="Arial" w:cs="Arial"/>
          <w:lang w:eastAsia="en-GB"/>
        </w:rPr>
      </w:pPr>
    </w:p>
    <w:p w14:paraId="58739A65" w14:textId="3F68F52C" w:rsidR="00891A67" w:rsidRPr="00104F67" w:rsidRDefault="00851621" w:rsidP="00104F67">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For W</w:t>
      </w:r>
      <w:r w:rsidR="00E4367C">
        <w:rPr>
          <w:rFonts w:ascii="Arial" w:eastAsia="Times New Roman" w:hAnsi="Arial" w:cs="Arial"/>
          <w:lang w:eastAsia="en-GB"/>
        </w:rPr>
        <w:t>D</w:t>
      </w:r>
      <w:r w:rsidRPr="00C57C8D">
        <w:rPr>
          <w:rFonts w:ascii="Arial" w:eastAsia="Times New Roman" w:hAnsi="Arial" w:cs="Arial"/>
          <w:lang w:eastAsia="en-GB"/>
        </w:rPr>
        <w:t xml:space="preserve">ES Indicator 2: The </w:t>
      </w:r>
      <w:r w:rsidRPr="00C57C8D">
        <w:rPr>
          <w:rFonts w:ascii="Arial" w:hAnsi="Arial" w:cs="Arial"/>
        </w:rPr>
        <w:t xml:space="preserve">relative likelihood of staff being appointed from shortlisting, the Trust has a ratio of </w:t>
      </w:r>
      <w:r w:rsidR="00D40A74">
        <w:rPr>
          <w:rFonts w:ascii="Arial" w:hAnsi="Arial" w:cs="Arial"/>
        </w:rPr>
        <w:t>1.09</w:t>
      </w:r>
      <w:r w:rsidRPr="00C57C8D">
        <w:rPr>
          <w:rFonts w:ascii="Arial" w:hAnsi="Arial" w:cs="Arial"/>
        </w:rPr>
        <w:t xml:space="preserve">, indicating </w:t>
      </w:r>
      <w:r w:rsidR="00D40A74">
        <w:rPr>
          <w:rFonts w:ascii="Arial" w:hAnsi="Arial" w:cs="Arial"/>
        </w:rPr>
        <w:t>that</w:t>
      </w:r>
      <w:r w:rsidRPr="00C57C8D">
        <w:rPr>
          <w:rFonts w:ascii="Arial" w:hAnsi="Arial" w:cs="Arial"/>
        </w:rPr>
        <w:t xml:space="preserve"> </w:t>
      </w:r>
      <w:r w:rsidR="00D40A74">
        <w:rPr>
          <w:rFonts w:ascii="Arial" w:hAnsi="Arial" w:cs="Arial"/>
        </w:rPr>
        <w:t>disabled</w:t>
      </w:r>
      <w:r w:rsidRPr="00C57C8D">
        <w:rPr>
          <w:rFonts w:ascii="Arial" w:hAnsi="Arial" w:cs="Arial"/>
        </w:rPr>
        <w:t xml:space="preserve"> staff are not disadvantaged in our recruitment processes. </w:t>
      </w:r>
      <w:r w:rsidR="005173D8" w:rsidRPr="00104F67">
        <w:rPr>
          <w:rFonts w:ascii="Arial" w:hAnsi="Arial" w:cs="Arial"/>
          <w:highlight w:val="yellow"/>
        </w:rPr>
        <w:br/>
      </w:r>
    </w:p>
    <w:p w14:paraId="0CE287BF" w14:textId="7E1A5F26" w:rsidR="00703B53" w:rsidRPr="00C57C8D" w:rsidRDefault="00703B53"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For W</w:t>
      </w:r>
      <w:r w:rsidR="00E4367C">
        <w:rPr>
          <w:rFonts w:ascii="Arial" w:eastAsia="Times New Roman" w:hAnsi="Arial" w:cs="Arial"/>
          <w:lang w:eastAsia="en-GB"/>
        </w:rPr>
        <w:t>D</w:t>
      </w:r>
      <w:r w:rsidRPr="00C57C8D">
        <w:rPr>
          <w:rFonts w:ascii="Arial" w:eastAsia="Times New Roman" w:hAnsi="Arial" w:cs="Arial"/>
          <w:lang w:eastAsia="en-GB"/>
        </w:rPr>
        <w:t xml:space="preserve">ES </w:t>
      </w:r>
      <w:r w:rsidR="0021660C">
        <w:rPr>
          <w:rFonts w:ascii="Arial" w:eastAsia="Times New Roman" w:hAnsi="Arial" w:cs="Arial"/>
          <w:lang w:eastAsia="en-GB"/>
        </w:rPr>
        <w:t>indicators</w:t>
      </w:r>
      <w:r w:rsidRPr="00C57C8D">
        <w:rPr>
          <w:rFonts w:ascii="Arial" w:eastAsia="Times New Roman" w:hAnsi="Arial" w:cs="Arial"/>
          <w:lang w:eastAsia="en-GB"/>
        </w:rPr>
        <w:t xml:space="preserve"> </w:t>
      </w:r>
      <w:r w:rsidR="00E4367C">
        <w:rPr>
          <w:rFonts w:ascii="Arial" w:eastAsia="Times New Roman" w:hAnsi="Arial" w:cs="Arial"/>
          <w:lang w:eastAsia="en-GB"/>
        </w:rPr>
        <w:t>4</w:t>
      </w:r>
      <w:r w:rsidR="00877738">
        <w:rPr>
          <w:rFonts w:ascii="Arial" w:eastAsia="Times New Roman" w:hAnsi="Arial" w:cs="Arial"/>
          <w:lang w:eastAsia="en-GB"/>
        </w:rPr>
        <w:t xml:space="preserve"> through 10</w:t>
      </w:r>
      <w:r w:rsidR="00751639" w:rsidRPr="00C57C8D">
        <w:rPr>
          <w:rFonts w:ascii="Arial" w:eastAsia="Times New Roman" w:hAnsi="Arial" w:cs="Arial"/>
          <w:lang w:eastAsia="en-GB"/>
        </w:rPr>
        <w:t xml:space="preserve">, </w:t>
      </w:r>
      <w:r w:rsidR="006F3DB0" w:rsidRPr="00C57C8D">
        <w:rPr>
          <w:rFonts w:ascii="Arial" w:eastAsia="Times New Roman" w:hAnsi="Arial" w:cs="Arial"/>
          <w:lang w:eastAsia="en-GB"/>
        </w:rPr>
        <w:t>representing</w:t>
      </w:r>
      <w:r w:rsidR="00751639" w:rsidRPr="00C57C8D">
        <w:rPr>
          <w:rFonts w:ascii="Arial" w:eastAsia="Times New Roman" w:hAnsi="Arial" w:cs="Arial"/>
          <w:lang w:eastAsia="en-GB"/>
        </w:rPr>
        <w:t xml:space="preserve"> </w:t>
      </w:r>
      <w:r w:rsidR="00825FF1">
        <w:rPr>
          <w:rFonts w:ascii="Arial" w:eastAsia="Times New Roman" w:hAnsi="Arial" w:cs="Arial"/>
          <w:lang w:eastAsia="en-GB"/>
        </w:rPr>
        <w:t xml:space="preserve">9 </w:t>
      </w:r>
      <w:r w:rsidR="00751639" w:rsidRPr="00C57C8D">
        <w:rPr>
          <w:rFonts w:ascii="Arial" w:eastAsia="Times New Roman" w:hAnsi="Arial" w:cs="Arial"/>
          <w:lang w:eastAsia="en-GB"/>
        </w:rPr>
        <w:t>NSS responses</w:t>
      </w:r>
      <w:r w:rsidR="000C0141" w:rsidRPr="00C57C8D">
        <w:rPr>
          <w:rFonts w:ascii="Arial" w:eastAsia="Times New Roman" w:hAnsi="Arial" w:cs="Arial"/>
          <w:lang w:eastAsia="en-GB"/>
        </w:rPr>
        <w:t>,</w:t>
      </w:r>
      <w:r w:rsidR="00751639" w:rsidRPr="00C57C8D">
        <w:rPr>
          <w:rFonts w:ascii="Arial" w:eastAsia="Times New Roman" w:hAnsi="Arial" w:cs="Arial"/>
          <w:lang w:eastAsia="en-GB"/>
        </w:rPr>
        <w:t xml:space="preserve"> the Trust has improved</w:t>
      </w:r>
      <w:r w:rsidR="000C0141" w:rsidRPr="00C57C8D">
        <w:rPr>
          <w:rFonts w:ascii="Arial" w:eastAsia="Times New Roman" w:hAnsi="Arial" w:cs="Arial"/>
          <w:lang w:eastAsia="en-GB"/>
        </w:rPr>
        <w:t xml:space="preserve"> on the previous year's figures in </w:t>
      </w:r>
      <w:r w:rsidR="0066425F">
        <w:rPr>
          <w:rFonts w:ascii="Arial" w:eastAsia="Times New Roman" w:hAnsi="Arial" w:cs="Arial"/>
          <w:lang w:eastAsia="en-GB"/>
        </w:rPr>
        <w:t>si</w:t>
      </w:r>
      <w:r w:rsidR="00597C9F">
        <w:rPr>
          <w:rFonts w:ascii="Arial" w:eastAsia="Times New Roman" w:hAnsi="Arial" w:cs="Arial"/>
          <w:lang w:eastAsia="en-GB"/>
        </w:rPr>
        <w:t>x</w:t>
      </w:r>
      <w:r w:rsidR="000C0141" w:rsidRPr="00C57C8D">
        <w:rPr>
          <w:rFonts w:ascii="Arial" w:eastAsia="Times New Roman" w:hAnsi="Arial" w:cs="Arial"/>
          <w:lang w:eastAsia="en-GB"/>
        </w:rPr>
        <w:t>.</w:t>
      </w:r>
      <w:r w:rsidR="00102B2A" w:rsidRPr="00C57C8D">
        <w:rPr>
          <w:rFonts w:ascii="Arial" w:eastAsia="Times New Roman" w:hAnsi="Arial" w:cs="Arial"/>
          <w:lang w:eastAsia="en-GB"/>
        </w:rPr>
        <w:br/>
      </w:r>
    </w:p>
    <w:p w14:paraId="35831D9A" w14:textId="28D5FD7A" w:rsidR="00102B2A" w:rsidRPr="001A48F0" w:rsidRDefault="00102B2A" w:rsidP="002412B6">
      <w:pPr>
        <w:pStyle w:val="ListParagraph"/>
        <w:numPr>
          <w:ilvl w:val="1"/>
          <w:numId w:val="3"/>
        </w:numPr>
        <w:spacing w:before="100" w:beforeAutospacing="1" w:after="100" w:afterAutospacing="1" w:line="360" w:lineRule="auto"/>
        <w:textAlignment w:val="baseline"/>
        <w:outlineLvl w:val="1"/>
        <w:rPr>
          <w:rFonts w:ascii="Arial" w:eastAsia="Times New Roman" w:hAnsi="Arial" w:cs="Arial"/>
          <w:lang w:eastAsia="en-GB"/>
        </w:rPr>
      </w:pPr>
      <w:r w:rsidRPr="001A48F0">
        <w:rPr>
          <w:rFonts w:ascii="Arial" w:eastAsia="Times New Roman" w:hAnsi="Arial" w:cs="Arial"/>
          <w:lang w:eastAsia="en-GB"/>
        </w:rPr>
        <w:t xml:space="preserve">We have seen </w:t>
      </w:r>
      <w:r w:rsidR="00597C9F" w:rsidRPr="001A48F0">
        <w:rPr>
          <w:rFonts w:ascii="Arial" w:eastAsia="Times New Roman" w:hAnsi="Arial" w:cs="Arial"/>
          <w:lang w:eastAsia="en-GB"/>
        </w:rPr>
        <w:t xml:space="preserve">a </w:t>
      </w:r>
      <w:r w:rsidR="0057628E" w:rsidRPr="001A48F0">
        <w:rPr>
          <w:rFonts w:ascii="Arial" w:eastAsia="Times New Roman" w:hAnsi="Arial" w:cs="Arial"/>
          <w:lang w:eastAsia="en-GB"/>
        </w:rPr>
        <w:t xml:space="preserve">significant </w:t>
      </w:r>
      <w:r w:rsidR="00597C9F" w:rsidRPr="001A48F0">
        <w:rPr>
          <w:rFonts w:ascii="Arial" w:eastAsia="Times New Roman" w:hAnsi="Arial" w:cs="Arial"/>
          <w:lang w:eastAsia="en-GB"/>
        </w:rPr>
        <w:t xml:space="preserve">reduction in </w:t>
      </w:r>
      <w:r w:rsidR="0054393B" w:rsidRPr="001A48F0">
        <w:rPr>
          <w:rFonts w:ascii="Arial" w:eastAsia="Times New Roman" w:hAnsi="Arial" w:cs="Arial"/>
          <w:lang w:eastAsia="en-GB"/>
        </w:rPr>
        <w:t>disabled</w:t>
      </w:r>
      <w:r w:rsidR="00597C9F" w:rsidRPr="001A48F0">
        <w:rPr>
          <w:rFonts w:ascii="Arial" w:eastAsia="Times New Roman" w:hAnsi="Arial" w:cs="Arial"/>
          <w:lang w:eastAsia="en-GB"/>
        </w:rPr>
        <w:t xml:space="preserve"> staff </w:t>
      </w:r>
      <w:r w:rsidR="0054393B" w:rsidRPr="001A48F0">
        <w:rPr>
          <w:rFonts w:ascii="Arial" w:eastAsia="Times New Roman" w:hAnsi="Arial" w:cs="Arial"/>
          <w:lang w:eastAsia="en-GB"/>
        </w:rPr>
        <w:t>experiencing</w:t>
      </w:r>
      <w:r w:rsidR="00597C9F" w:rsidRPr="001A48F0">
        <w:rPr>
          <w:rFonts w:ascii="Arial" w:eastAsia="Times New Roman" w:hAnsi="Arial" w:cs="Arial"/>
          <w:lang w:eastAsia="en-GB"/>
        </w:rPr>
        <w:t xml:space="preserve"> bullying and harassment from </w:t>
      </w:r>
      <w:r w:rsidR="0054393B" w:rsidRPr="001A48F0">
        <w:rPr>
          <w:rFonts w:ascii="Arial" w:eastAsia="Times New Roman" w:hAnsi="Arial" w:cs="Arial"/>
          <w:lang w:eastAsia="en-GB"/>
        </w:rPr>
        <w:t>patients</w:t>
      </w:r>
      <w:r w:rsidR="00DF3BD0" w:rsidRPr="001A48F0">
        <w:rPr>
          <w:rFonts w:ascii="Arial" w:eastAsia="Times New Roman" w:hAnsi="Arial" w:cs="Arial"/>
          <w:lang w:eastAsia="en-GB"/>
        </w:rPr>
        <w:t>.</w:t>
      </w:r>
    </w:p>
    <w:p w14:paraId="56D7F890" w14:textId="5D56EDB2" w:rsidR="00DF3BD0" w:rsidRPr="001A48F0" w:rsidRDefault="000D5A18" w:rsidP="002412B6">
      <w:pPr>
        <w:pStyle w:val="ListParagraph"/>
        <w:numPr>
          <w:ilvl w:val="1"/>
          <w:numId w:val="3"/>
        </w:numPr>
        <w:spacing w:before="100" w:beforeAutospacing="1" w:after="100" w:afterAutospacing="1" w:line="360" w:lineRule="auto"/>
        <w:textAlignment w:val="baseline"/>
        <w:outlineLvl w:val="1"/>
        <w:rPr>
          <w:rFonts w:ascii="Arial" w:eastAsia="Times New Roman" w:hAnsi="Arial" w:cs="Arial"/>
          <w:lang w:eastAsia="en-GB"/>
        </w:rPr>
      </w:pPr>
      <w:r w:rsidRPr="001A48F0">
        <w:rPr>
          <w:rFonts w:ascii="Arial" w:eastAsia="Times New Roman" w:hAnsi="Arial" w:cs="Arial"/>
          <w:lang w:eastAsia="en-GB"/>
        </w:rPr>
        <w:t xml:space="preserve">A significant improvement in the percentage of disabled and non-disabled staff reporting incidents of bullying and </w:t>
      </w:r>
      <w:r w:rsidR="00D641BA" w:rsidRPr="001A48F0">
        <w:rPr>
          <w:rFonts w:ascii="Arial" w:eastAsia="Times New Roman" w:hAnsi="Arial" w:cs="Arial"/>
          <w:lang w:eastAsia="en-GB"/>
        </w:rPr>
        <w:t>harassment.</w:t>
      </w:r>
    </w:p>
    <w:p w14:paraId="5F07E5EF" w14:textId="1C6F4976" w:rsidR="0057628E" w:rsidRPr="001A48F0" w:rsidRDefault="0057628E" w:rsidP="002412B6">
      <w:pPr>
        <w:pStyle w:val="ListParagraph"/>
        <w:numPr>
          <w:ilvl w:val="1"/>
          <w:numId w:val="3"/>
        </w:numPr>
        <w:spacing w:before="100" w:beforeAutospacing="1" w:after="100" w:afterAutospacing="1" w:line="360" w:lineRule="auto"/>
        <w:textAlignment w:val="baseline"/>
        <w:outlineLvl w:val="1"/>
        <w:rPr>
          <w:rFonts w:ascii="Arial" w:eastAsia="Times New Roman" w:hAnsi="Arial" w:cs="Arial"/>
          <w:lang w:eastAsia="en-GB"/>
        </w:rPr>
      </w:pPr>
      <w:r w:rsidRPr="001A48F0">
        <w:rPr>
          <w:rFonts w:ascii="Arial" w:eastAsia="Times New Roman" w:hAnsi="Arial" w:cs="Arial"/>
          <w:lang w:eastAsia="en-GB"/>
        </w:rPr>
        <w:t xml:space="preserve">A continual </w:t>
      </w:r>
      <w:r w:rsidR="00522BCE" w:rsidRPr="001A48F0">
        <w:rPr>
          <w:rFonts w:ascii="Arial" w:eastAsia="Times New Roman" w:hAnsi="Arial" w:cs="Arial"/>
          <w:lang w:eastAsia="en-GB"/>
        </w:rPr>
        <w:t>improvement</w:t>
      </w:r>
      <w:r w:rsidRPr="001A48F0">
        <w:rPr>
          <w:rFonts w:ascii="Arial" w:eastAsia="Times New Roman" w:hAnsi="Arial" w:cs="Arial"/>
          <w:lang w:eastAsia="en-GB"/>
        </w:rPr>
        <w:t xml:space="preserve"> since 2020 for disabled staff</w:t>
      </w:r>
      <w:r w:rsidR="00522BCE" w:rsidRPr="001A48F0">
        <w:rPr>
          <w:rFonts w:ascii="Arial" w:eastAsia="Times New Roman" w:hAnsi="Arial" w:cs="Arial"/>
          <w:lang w:eastAsia="en-GB"/>
        </w:rPr>
        <w:t xml:space="preserve"> </w:t>
      </w:r>
      <w:r w:rsidR="00ED2A67" w:rsidRPr="001A48F0">
        <w:rPr>
          <w:rFonts w:ascii="Arial" w:eastAsia="Times New Roman" w:hAnsi="Arial" w:cs="Arial"/>
          <w:lang w:eastAsia="en-GB"/>
        </w:rPr>
        <w:t xml:space="preserve">who </w:t>
      </w:r>
      <w:r w:rsidR="00ED2A67" w:rsidRPr="001A48F0">
        <w:rPr>
          <w:rFonts w:ascii="Arial" w:hAnsi="Arial" w:cs="Arial"/>
        </w:rPr>
        <w:t>believe</w:t>
      </w:r>
      <w:r w:rsidR="00522BCE" w:rsidRPr="001A48F0">
        <w:rPr>
          <w:rFonts w:ascii="Arial" w:hAnsi="Arial" w:cs="Arial"/>
        </w:rPr>
        <w:t xml:space="preserve"> that their organisation provides equal opportunities for career progression or promotion</w:t>
      </w:r>
      <w:r w:rsidR="00ED2A67" w:rsidRPr="001A48F0">
        <w:rPr>
          <w:rFonts w:ascii="Arial" w:hAnsi="Arial" w:cs="Arial"/>
        </w:rPr>
        <w:t>.</w:t>
      </w:r>
    </w:p>
    <w:p w14:paraId="4F3CC52C" w14:textId="0E6ACC8C" w:rsidR="00FF0C2F" w:rsidRPr="001A48F0" w:rsidRDefault="00FF0C2F" w:rsidP="002412B6">
      <w:pPr>
        <w:pStyle w:val="Default"/>
        <w:numPr>
          <w:ilvl w:val="1"/>
          <w:numId w:val="3"/>
        </w:numPr>
        <w:spacing w:before="100" w:beforeAutospacing="1" w:after="100" w:afterAutospacing="1" w:line="360" w:lineRule="auto"/>
        <w:rPr>
          <w:rFonts w:ascii="Arial" w:hAnsi="Arial" w:cs="Arial"/>
          <w:sz w:val="22"/>
          <w:szCs w:val="22"/>
        </w:rPr>
      </w:pPr>
      <w:r w:rsidRPr="001A48F0">
        <w:rPr>
          <w:rFonts w:ascii="Arial" w:eastAsia="Times New Roman" w:hAnsi="Arial" w:cs="Arial"/>
          <w:sz w:val="22"/>
          <w:szCs w:val="22"/>
          <w:lang w:eastAsia="en-GB"/>
        </w:rPr>
        <w:t xml:space="preserve">A continual improvement since 2020 for disabled staff </w:t>
      </w:r>
      <w:r w:rsidR="000A2E39" w:rsidRPr="001A48F0">
        <w:rPr>
          <w:rFonts w:ascii="Arial" w:eastAsia="Times New Roman" w:hAnsi="Arial" w:cs="Arial"/>
          <w:sz w:val="22"/>
          <w:szCs w:val="22"/>
          <w:lang w:eastAsia="en-GB"/>
        </w:rPr>
        <w:t>feeling pressure from their manager to come to work, despite not feeling well enough to perform their duties</w:t>
      </w:r>
      <w:r w:rsidR="00E21AB4" w:rsidRPr="001A48F0">
        <w:rPr>
          <w:rFonts w:ascii="Arial" w:eastAsia="Times New Roman" w:hAnsi="Arial" w:cs="Arial"/>
          <w:sz w:val="22"/>
          <w:szCs w:val="22"/>
          <w:lang w:eastAsia="en-GB"/>
        </w:rPr>
        <w:t>.</w:t>
      </w:r>
    </w:p>
    <w:p w14:paraId="55410FAC" w14:textId="76474D89" w:rsidR="00E21AB4" w:rsidRPr="001A48F0" w:rsidRDefault="00E21AB4" w:rsidP="002412B6">
      <w:pPr>
        <w:pStyle w:val="Default"/>
        <w:numPr>
          <w:ilvl w:val="1"/>
          <w:numId w:val="3"/>
        </w:numPr>
        <w:spacing w:before="100" w:beforeAutospacing="1" w:after="100" w:afterAutospacing="1" w:line="360" w:lineRule="auto"/>
        <w:rPr>
          <w:rFonts w:ascii="Arial" w:hAnsi="Arial" w:cs="Arial"/>
          <w:sz w:val="22"/>
          <w:szCs w:val="22"/>
        </w:rPr>
      </w:pPr>
      <w:r w:rsidRPr="001A48F0">
        <w:rPr>
          <w:rFonts w:ascii="Arial" w:eastAsia="Times New Roman" w:hAnsi="Arial" w:cs="Arial"/>
          <w:sz w:val="22"/>
          <w:szCs w:val="22"/>
          <w:lang w:eastAsia="en-GB"/>
        </w:rPr>
        <w:t>A continu</w:t>
      </w:r>
      <w:r w:rsidR="00B80614" w:rsidRPr="001A48F0">
        <w:rPr>
          <w:rFonts w:ascii="Arial" w:eastAsia="Times New Roman" w:hAnsi="Arial" w:cs="Arial"/>
          <w:sz w:val="22"/>
          <w:szCs w:val="22"/>
          <w:lang w:eastAsia="en-GB"/>
        </w:rPr>
        <w:t xml:space="preserve">al </w:t>
      </w:r>
      <w:r w:rsidRPr="001A48F0">
        <w:rPr>
          <w:rFonts w:ascii="Arial" w:eastAsia="Times New Roman" w:hAnsi="Arial" w:cs="Arial"/>
          <w:sz w:val="22"/>
          <w:szCs w:val="22"/>
          <w:lang w:eastAsia="en-GB"/>
        </w:rPr>
        <w:t>improvement since 2020 for disabled staff reporting that</w:t>
      </w:r>
      <w:r w:rsidR="00B80614" w:rsidRPr="001A48F0">
        <w:rPr>
          <w:rFonts w:ascii="Arial" w:eastAsia="Times New Roman" w:hAnsi="Arial" w:cs="Arial"/>
          <w:sz w:val="22"/>
          <w:szCs w:val="22"/>
          <w:lang w:eastAsia="en-GB"/>
        </w:rPr>
        <w:t xml:space="preserve"> their employer has made reasonable adjustment(s) to enable them to carry out their work.</w:t>
      </w:r>
    </w:p>
    <w:p w14:paraId="42730097" w14:textId="53EFA4D2" w:rsidR="000C0141" w:rsidRPr="00C57C8D" w:rsidRDefault="00FF0C2F" w:rsidP="002412B6">
      <w:pPr>
        <w:pStyle w:val="Default"/>
        <w:numPr>
          <w:ilvl w:val="1"/>
          <w:numId w:val="3"/>
        </w:numPr>
        <w:spacing w:before="100" w:beforeAutospacing="1" w:after="100" w:afterAutospacing="1" w:line="360" w:lineRule="auto"/>
        <w:rPr>
          <w:rFonts w:ascii="Arial" w:hAnsi="Arial" w:cs="Arial"/>
          <w:sz w:val="22"/>
          <w:szCs w:val="22"/>
        </w:rPr>
      </w:pPr>
      <w:r w:rsidRPr="001A48F0">
        <w:rPr>
          <w:rFonts w:ascii="Arial" w:eastAsia="Times New Roman" w:hAnsi="Arial" w:cs="Arial"/>
          <w:color w:val="auto"/>
          <w:sz w:val="22"/>
          <w:szCs w:val="22"/>
          <w:lang w:eastAsia="en-GB"/>
        </w:rPr>
        <w:t>An</w:t>
      </w:r>
      <w:r w:rsidR="000C0141" w:rsidRPr="001A48F0">
        <w:rPr>
          <w:rFonts w:ascii="Arial" w:eastAsia="Times New Roman" w:hAnsi="Arial" w:cs="Arial"/>
          <w:color w:val="auto"/>
          <w:sz w:val="22"/>
          <w:szCs w:val="22"/>
          <w:lang w:eastAsia="en-GB"/>
        </w:rPr>
        <w:t xml:space="preserve"> improvement in the number of </w:t>
      </w:r>
      <w:r w:rsidR="00286FB0" w:rsidRPr="001A48F0">
        <w:rPr>
          <w:rFonts w:ascii="Arial" w:eastAsia="Times New Roman" w:hAnsi="Arial" w:cs="Arial"/>
          <w:color w:val="auto"/>
          <w:sz w:val="22"/>
          <w:szCs w:val="22"/>
          <w:lang w:eastAsia="en-GB"/>
        </w:rPr>
        <w:t>disabled</w:t>
      </w:r>
      <w:r w:rsidR="000C0141" w:rsidRPr="001A48F0">
        <w:rPr>
          <w:rFonts w:ascii="Arial" w:eastAsia="Times New Roman" w:hAnsi="Arial" w:cs="Arial"/>
          <w:color w:val="auto"/>
          <w:sz w:val="22"/>
          <w:szCs w:val="22"/>
          <w:lang w:eastAsia="en-GB"/>
        </w:rPr>
        <w:t xml:space="preserve"> staff completing the NSS, increasing from </w:t>
      </w:r>
      <w:r w:rsidR="009750C4" w:rsidRPr="001A48F0">
        <w:rPr>
          <w:rFonts w:ascii="Arial" w:eastAsia="Times New Roman" w:hAnsi="Arial" w:cs="Arial"/>
          <w:color w:val="auto"/>
          <w:sz w:val="22"/>
          <w:szCs w:val="22"/>
          <w:lang w:eastAsia="en-GB"/>
        </w:rPr>
        <w:t>286</w:t>
      </w:r>
      <w:r w:rsidR="000C0141" w:rsidRPr="001A48F0">
        <w:rPr>
          <w:rFonts w:ascii="Arial" w:eastAsia="Times New Roman" w:hAnsi="Arial" w:cs="Arial"/>
          <w:color w:val="auto"/>
          <w:sz w:val="22"/>
          <w:szCs w:val="22"/>
          <w:lang w:eastAsia="en-GB"/>
        </w:rPr>
        <w:t xml:space="preserve"> in 2020 to </w:t>
      </w:r>
      <w:r w:rsidR="00E775B9" w:rsidRPr="001A48F0">
        <w:rPr>
          <w:rFonts w:ascii="Arial" w:eastAsia="Times New Roman" w:hAnsi="Arial" w:cs="Arial"/>
          <w:color w:val="auto"/>
          <w:sz w:val="22"/>
          <w:szCs w:val="22"/>
          <w:lang w:eastAsia="en-GB"/>
        </w:rPr>
        <w:t>566</w:t>
      </w:r>
      <w:r w:rsidR="000C0141" w:rsidRPr="001A48F0">
        <w:rPr>
          <w:rFonts w:ascii="Arial" w:eastAsia="Times New Roman" w:hAnsi="Arial" w:cs="Arial"/>
          <w:color w:val="auto"/>
          <w:sz w:val="22"/>
          <w:szCs w:val="22"/>
          <w:lang w:eastAsia="en-GB"/>
        </w:rPr>
        <w:t xml:space="preserve"> in 2024.</w:t>
      </w:r>
      <w:r w:rsidR="00CB1AD0" w:rsidRPr="00C57C8D">
        <w:rPr>
          <w:rFonts w:ascii="Arial" w:eastAsia="Times New Roman" w:hAnsi="Arial" w:cs="Arial"/>
          <w:color w:val="auto"/>
          <w:sz w:val="22"/>
          <w:szCs w:val="22"/>
          <w:lang w:eastAsia="en-GB"/>
        </w:rPr>
        <w:br/>
      </w:r>
    </w:p>
    <w:p w14:paraId="5F2229C5" w14:textId="23CF09FE" w:rsidR="00453961" w:rsidRPr="002412B6" w:rsidRDefault="00A511F9" w:rsidP="002412B6">
      <w:pPr>
        <w:pStyle w:val="Default"/>
        <w:numPr>
          <w:ilvl w:val="0"/>
          <w:numId w:val="3"/>
        </w:numPr>
        <w:spacing w:before="100" w:beforeAutospacing="1" w:after="100" w:afterAutospacing="1" w:line="360" w:lineRule="auto"/>
        <w:rPr>
          <w:rFonts w:ascii="Arial" w:hAnsi="Arial" w:cs="Arial"/>
          <w:sz w:val="22"/>
          <w:szCs w:val="22"/>
        </w:rPr>
      </w:pPr>
      <w:r w:rsidRPr="00C57C8D">
        <w:rPr>
          <w:rFonts w:ascii="Arial" w:eastAsia="Times New Roman" w:hAnsi="Arial" w:cs="Arial"/>
          <w:sz w:val="22"/>
          <w:szCs w:val="22"/>
          <w:lang w:eastAsia="en-GB"/>
        </w:rPr>
        <w:lastRenderedPageBreak/>
        <w:t>For W</w:t>
      </w:r>
      <w:r w:rsidR="002554B0">
        <w:rPr>
          <w:rFonts w:ascii="Arial" w:eastAsia="Times New Roman" w:hAnsi="Arial" w:cs="Arial"/>
          <w:sz w:val="22"/>
          <w:szCs w:val="22"/>
          <w:lang w:eastAsia="en-GB"/>
        </w:rPr>
        <w:t>D</w:t>
      </w:r>
      <w:r w:rsidRPr="00C57C8D">
        <w:rPr>
          <w:rFonts w:ascii="Arial" w:eastAsia="Times New Roman" w:hAnsi="Arial" w:cs="Arial"/>
          <w:sz w:val="22"/>
          <w:szCs w:val="22"/>
          <w:lang w:eastAsia="en-GB"/>
        </w:rPr>
        <w:t xml:space="preserve">ES indicator </w:t>
      </w:r>
      <w:r w:rsidR="002554B0">
        <w:rPr>
          <w:rFonts w:ascii="Arial" w:eastAsia="Times New Roman" w:hAnsi="Arial" w:cs="Arial"/>
          <w:sz w:val="22"/>
          <w:szCs w:val="22"/>
          <w:lang w:eastAsia="en-GB"/>
        </w:rPr>
        <w:t>10</w:t>
      </w:r>
      <w:r w:rsidRPr="00C57C8D">
        <w:rPr>
          <w:rFonts w:ascii="Arial" w:eastAsia="Times New Roman" w:hAnsi="Arial" w:cs="Arial"/>
          <w:sz w:val="22"/>
          <w:szCs w:val="22"/>
          <w:lang w:eastAsia="en-GB"/>
        </w:rPr>
        <w:t xml:space="preserve">: the percentage difference between the organisation’s Board voting membership and its overall workforce. </w:t>
      </w:r>
      <w:r w:rsidR="000B30F9">
        <w:rPr>
          <w:rFonts w:ascii="Arial" w:eastAsia="Times New Roman" w:hAnsi="Arial" w:cs="Arial"/>
          <w:sz w:val="22"/>
          <w:szCs w:val="22"/>
          <w:lang w:eastAsia="en-GB"/>
        </w:rPr>
        <w:t xml:space="preserve">A figure of 9.09% </w:t>
      </w:r>
      <w:r w:rsidR="00447818">
        <w:rPr>
          <w:rFonts w:ascii="Arial" w:eastAsia="Times New Roman" w:hAnsi="Arial" w:cs="Arial"/>
          <w:sz w:val="22"/>
          <w:szCs w:val="22"/>
          <w:lang w:eastAsia="en-GB"/>
        </w:rPr>
        <w:t>cl</w:t>
      </w:r>
      <w:r w:rsidR="000B30F9">
        <w:rPr>
          <w:rFonts w:ascii="Arial" w:eastAsia="Times New Roman" w:hAnsi="Arial" w:cs="Arial"/>
          <w:sz w:val="22"/>
          <w:szCs w:val="22"/>
          <w:lang w:eastAsia="en-GB"/>
        </w:rPr>
        <w:t xml:space="preserve">osely </w:t>
      </w:r>
      <w:r w:rsidR="000B30F9">
        <w:rPr>
          <w:rFonts w:ascii="Arial" w:eastAsia="Times New Roman" w:hAnsi="Arial" w:cs="Arial"/>
          <w:lang w:eastAsia="en-GB"/>
        </w:rPr>
        <w:t>matches</w:t>
      </w:r>
      <w:r w:rsidR="000B30F9">
        <w:rPr>
          <w:rFonts w:ascii="Arial" w:eastAsia="Times New Roman" w:hAnsi="Arial" w:cs="Arial"/>
          <w:sz w:val="22"/>
          <w:szCs w:val="22"/>
          <w:lang w:eastAsia="en-GB"/>
        </w:rPr>
        <w:t xml:space="preserve"> </w:t>
      </w:r>
      <w:r w:rsidRPr="00C57C8D">
        <w:rPr>
          <w:rFonts w:ascii="Arial" w:eastAsia="Times New Roman" w:hAnsi="Arial" w:cs="Arial"/>
          <w:sz w:val="22"/>
          <w:szCs w:val="22"/>
          <w:lang w:eastAsia="en-GB"/>
        </w:rPr>
        <w:t>our workforce and local demographic representation</w:t>
      </w:r>
      <w:r w:rsidR="000B30F9">
        <w:rPr>
          <w:rFonts w:ascii="Arial" w:eastAsia="Times New Roman" w:hAnsi="Arial" w:cs="Arial"/>
          <w:sz w:val="22"/>
          <w:szCs w:val="22"/>
          <w:lang w:eastAsia="en-GB"/>
        </w:rPr>
        <w:t xml:space="preserve"> of 10%.</w:t>
      </w:r>
    </w:p>
    <w:p w14:paraId="715AE596" w14:textId="3D67C2CE" w:rsidR="00453961" w:rsidRPr="00C57C8D" w:rsidRDefault="00453961" w:rsidP="002412B6">
      <w:pPr>
        <w:pStyle w:val="Default"/>
        <w:spacing w:before="100" w:beforeAutospacing="1" w:after="100" w:afterAutospacing="1" w:line="360" w:lineRule="auto"/>
        <w:rPr>
          <w:rFonts w:ascii="Arial" w:eastAsia="Times New Roman" w:hAnsi="Arial" w:cs="Arial"/>
          <w:b/>
          <w:bCs/>
          <w:sz w:val="22"/>
          <w:szCs w:val="22"/>
          <w:lang w:eastAsia="en-GB"/>
        </w:rPr>
      </w:pPr>
      <w:r w:rsidRPr="00C57C8D">
        <w:rPr>
          <w:rFonts w:ascii="Arial" w:eastAsia="Times New Roman" w:hAnsi="Arial" w:cs="Arial"/>
          <w:b/>
          <w:bCs/>
          <w:sz w:val="22"/>
          <w:szCs w:val="22"/>
          <w:lang w:eastAsia="en-GB"/>
        </w:rPr>
        <w:t>Areas for Focus</w:t>
      </w:r>
    </w:p>
    <w:p w14:paraId="2FBE329F" w14:textId="2307BC7D" w:rsidR="00453961" w:rsidRPr="0026502C" w:rsidRDefault="00CF2A9B" w:rsidP="002412B6">
      <w:pPr>
        <w:pStyle w:val="Default"/>
        <w:numPr>
          <w:ilvl w:val="0"/>
          <w:numId w:val="5"/>
        </w:numPr>
        <w:spacing w:before="100" w:beforeAutospacing="1" w:after="100" w:afterAutospacing="1" w:line="360" w:lineRule="auto"/>
        <w:rPr>
          <w:rFonts w:ascii="Arial" w:hAnsi="Arial" w:cs="Arial"/>
          <w:sz w:val="22"/>
          <w:szCs w:val="22"/>
        </w:rPr>
      </w:pPr>
      <w:r>
        <w:rPr>
          <w:rFonts w:ascii="Arial" w:eastAsia="Times New Roman" w:hAnsi="Arial" w:cs="Arial"/>
          <w:sz w:val="22"/>
          <w:szCs w:val="22"/>
          <w:lang w:eastAsia="en-GB"/>
        </w:rPr>
        <w:t>E</w:t>
      </w:r>
      <w:r w:rsidR="0015765A" w:rsidRPr="0015765A">
        <w:rPr>
          <w:rFonts w:ascii="Arial" w:eastAsia="Times New Roman" w:hAnsi="Arial" w:cs="Arial"/>
          <w:sz w:val="22"/>
          <w:szCs w:val="22"/>
          <w:lang w:eastAsia="en-GB"/>
        </w:rPr>
        <w:t xml:space="preserve">xperiencing harassment, bullying or abuse from other colleagues. </w:t>
      </w:r>
      <w:r w:rsidR="00C418FE">
        <w:rPr>
          <w:rFonts w:ascii="Arial" w:eastAsia="Times New Roman" w:hAnsi="Arial" w:cs="Arial"/>
          <w:sz w:val="22"/>
          <w:szCs w:val="22"/>
          <w:lang w:eastAsia="en-GB"/>
        </w:rPr>
        <w:t>Slightly down on</w:t>
      </w:r>
      <w:r w:rsidR="00DC7B13">
        <w:rPr>
          <w:rFonts w:ascii="Arial" w:eastAsia="Times New Roman" w:hAnsi="Arial" w:cs="Arial"/>
          <w:sz w:val="22"/>
          <w:szCs w:val="22"/>
          <w:lang w:eastAsia="en-GB"/>
        </w:rPr>
        <w:t xml:space="preserve"> the national figure and an increase </w:t>
      </w:r>
      <w:r w:rsidR="00C418FE">
        <w:rPr>
          <w:rFonts w:ascii="Arial" w:eastAsia="Times New Roman" w:hAnsi="Arial" w:cs="Arial"/>
          <w:sz w:val="22"/>
          <w:szCs w:val="22"/>
          <w:lang w:eastAsia="en-GB"/>
        </w:rPr>
        <w:t>from</w:t>
      </w:r>
      <w:r w:rsidR="00DC7B13">
        <w:rPr>
          <w:rFonts w:ascii="Arial" w:eastAsia="Times New Roman" w:hAnsi="Arial" w:cs="Arial"/>
          <w:sz w:val="22"/>
          <w:szCs w:val="22"/>
          <w:lang w:eastAsia="en-GB"/>
        </w:rPr>
        <w:t xml:space="preserve"> the previous year. </w:t>
      </w:r>
    </w:p>
    <w:p w14:paraId="0442EB36" w14:textId="1F6434ED" w:rsidR="0026502C" w:rsidRPr="004173A7" w:rsidRDefault="0026502C" w:rsidP="004173A7">
      <w:pPr>
        <w:pStyle w:val="Default"/>
        <w:numPr>
          <w:ilvl w:val="0"/>
          <w:numId w:val="5"/>
        </w:numPr>
        <w:spacing w:before="100" w:beforeAutospacing="1" w:after="100" w:afterAutospacing="1" w:line="360" w:lineRule="auto"/>
        <w:rPr>
          <w:rFonts w:ascii="Arial" w:hAnsi="Arial" w:cs="Arial"/>
          <w:sz w:val="22"/>
          <w:szCs w:val="22"/>
        </w:rPr>
      </w:pPr>
      <w:r>
        <w:rPr>
          <w:rFonts w:ascii="Arial" w:eastAsia="Times New Roman" w:hAnsi="Arial" w:cs="Arial"/>
          <w:sz w:val="22"/>
          <w:szCs w:val="22"/>
          <w:lang w:eastAsia="en-GB"/>
        </w:rPr>
        <w:t>E</w:t>
      </w:r>
      <w:r w:rsidRPr="0015765A">
        <w:rPr>
          <w:rFonts w:ascii="Arial" w:eastAsia="Times New Roman" w:hAnsi="Arial" w:cs="Arial"/>
          <w:sz w:val="22"/>
          <w:szCs w:val="22"/>
          <w:lang w:eastAsia="en-GB"/>
        </w:rPr>
        <w:t xml:space="preserve">xperiencing harassment, bullying or abuse from </w:t>
      </w:r>
      <w:r>
        <w:rPr>
          <w:rFonts w:ascii="Arial" w:eastAsia="Times New Roman" w:hAnsi="Arial" w:cs="Arial"/>
          <w:lang w:eastAsia="en-GB"/>
        </w:rPr>
        <w:t>managers</w:t>
      </w:r>
      <w:r w:rsidRPr="0015765A">
        <w:rPr>
          <w:rFonts w:ascii="Arial" w:eastAsia="Times New Roman" w:hAnsi="Arial" w:cs="Arial"/>
          <w:sz w:val="22"/>
          <w:szCs w:val="22"/>
          <w:lang w:eastAsia="en-GB"/>
        </w:rPr>
        <w:t xml:space="preserve">. </w:t>
      </w:r>
      <w:r>
        <w:rPr>
          <w:rFonts w:ascii="Arial" w:eastAsia="Times New Roman" w:hAnsi="Arial" w:cs="Arial"/>
          <w:sz w:val="22"/>
          <w:szCs w:val="22"/>
          <w:lang w:eastAsia="en-GB"/>
        </w:rPr>
        <w:t>Better than the national figure</w:t>
      </w:r>
      <w:r w:rsidR="004173A7">
        <w:rPr>
          <w:rFonts w:ascii="Arial" w:eastAsia="Times New Roman" w:hAnsi="Arial" w:cs="Arial"/>
          <w:sz w:val="22"/>
          <w:szCs w:val="22"/>
          <w:lang w:eastAsia="en-GB"/>
        </w:rPr>
        <w:t>,</w:t>
      </w:r>
      <w:r>
        <w:rPr>
          <w:rFonts w:ascii="Arial" w:eastAsia="Times New Roman" w:hAnsi="Arial" w:cs="Arial"/>
          <w:sz w:val="22"/>
          <w:szCs w:val="22"/>
          <w:lang w:eastAsia="en-GB"/>
        </w:rPr>
        <w:t xml:space="preserve"> </w:t>
      </w:r>
      <w:r w:rsidR="004173A7">
        <w:rPr>
          <w:rFonts w:ascii="Arial" w:eastAsia="Times New Roman" w:hAnsi="Arial" w:cs="Arial"/>
          <w:sz w:val="22"/>
          <w:szCs w:val="22"/>
          <w:lang w:eastAsia="en-GB"/>
        </w:rPr>
        <w:t>but</w:t>
      </w:r>
      <w:r>
        <w:rPr>
          <w:rFonts w:ascii="Arial" w:eastAsia="Times New Roman" w:hAnsi="Arial" w:cs="Arial"/>
          <w:sz w:val="22"/>
          <w:szCs w:val="22"/>
          <w:lang w:eastAsia="en-GB"/>
        </w:rPr>
        <w:t xml:space="preserve"> an increase from the previous year. </w:t>
      </w:r>
    </w:p>
    <w:p w14:paraId="7B317E43" w14:textId="2A8874F5" w:rsidR="00F75CD5" w:rsidRPr="00C47667" w:rsidRDefault="00C47667" w:rsidP="002412B6">
      <w:pPr>
        <w:pStyle w:val="NoSpacing"/>
        <w:pBdr>
          <w:bottom w:val="single" w:sz="4" w:space="1" w:color="auto"/>
        </w:pBdr>
        <w:spacing w:before="100" w:beforeAutospacing="1" w:after="100" w:afterAutospacing="1" w:line="360" w:lineRule="auto"/>
        <w:rPr>
          <w:rFonts w:ascii="Arial" w:hAnsi="Arial" w:cs="Arial"/>
          <w:b/>
          <w:bCs/>
          <w:color w:val="2F5496" w:themeColor="accent1" w:themeShade="BF"/>
          <w:sz w:val="24"/>
          <w:szCs w:val="24"/>
        </w:rPr>
      </w:pPr>
      <w:r w:rsidRPr="00C47667">
        <w:rPr>
          <w:rFonts w:ascii="Arial" w:hAnsi="Arial" w:cs="Arial"/>
          <w:b/>
          <w:bCs/>
          <w:color w:val="2F5496" w:themeColor="accent1" w:themeShade="BF"/>
          <w:sz w:val="24"/>
          <w:szCs w:val="24"/>
        </w:rPr>
        <w:t xml:space="preserve">2. </w:t>
      </w:r>
      <w:r w:rsidR="00F75CD5" w:rsidRPr="00C47667">
        <w:rPr>
          <w:rFonts w:ascii="Arial" w:hAnsi="Arial" w:cs="Arial"/>
          <w:b/>
          <w:bCs/>
          <w:color w:val="2F5496" w:themeColor="accent1" w:themeShade="BF"/>
          <w:sz w:val="24"/>
          <w:szCs w:val="24"/>
        </w:rPr>
        <w:t>Introduction</w:t>
      </w:r>
    </w:p>
    <w:p w14:paraId="1A899419" w14:textId="19FB66BD" w:rsidR="00B82AA2" w:rsidRPr="00113BD6" w:rsidRDefault="00B82AA2" w:rsidP="00113BD6">
      <w:pPr>
        <w:autoSpaceDE w:val="0"/>
        <w:autoSpaceDN w:val="0"/>
        <w:adjustRightInd w:val="0"/>
        <w:spacing w:after="0" w:line="360" w:lineRule="auto"/>
        <w:rPr>
          <w:sz w:val="24"/>
          <w:szCs w:val="24"/>
        </w:rPr>
      </w:pPr>
      <w:r w:rsidRPr="00244C94">
        <w:rPr>
          <w:sz w:val="24"/>
          <w:szCs w:val="24"/>
        </w:rPr>
        <w:t>The Workforce Disability Equality Standard (WDES) is a set of ten specific measures (metrics) used by NHS organisations to compare disabled and non-disabled staff experiences. Like the Workforce Race Equality Standard (WRES)</w:t>
      </w:r>
      <w:r>
        <w:rPr>
          <w:sz w:val="24"/>
          <w:szCs w:val="24"/>
        </w:rPr>
        <w:t>, it allows</w:t>
      </w:r>
      <w:r w:rsidRPr="00244C94">
        <w:rPr>
          <w:sz w:val="24"/>
          <w:szCs w:val="24"/>
        </w:rPr>
        <w:t xml:space="preserve"> NHS Trusts to hold up the mirror to organisational performance on the equality agenda and develop action plans to address areas of challenge.</w:t>
      </w:r>
    </w:p>
    <w:p w14:paraId="293FEB60" w14:textId="2AC53C56" w:rsidR="006A049A" w:rsidRPr="00C57C8D" w:rsidRDefault="00F75CD5" w:rsidP="002412B6">
      <w:pPr>
        <w:pStyle w:val="NoSpacing"/>
        <w:spacing w:before="100" w:beforeAutospacing="1" w:after="100" w:afterAutospacing="1" w:line="360" w:lineRule="auto"/>
        <w:rPr>
          <w:rFonts w:ascii="Arial" w:hAnsi="Arial" w:cs="Arial"/>
        </w:rPr>
      </w:pPr>
      <w:r w:rsidRPr="00C57C8D">
        <w:rPr>
          <w:rFonts w:ascii="Arial" w:hAnsi="Arial" w:cs="Arial"/>
        </w:rPr>
        <w:t xml:space="preserve">In the </w:t>
      </w:r>
      <w:r w:rsidR="00B82AA2" w:rsidRPr="00C57C8D">
        <w:rPr>
          <w:rFonts w:ascii="Arial" w:hAnsi="Arial" w:cs="Arial"/>
        </w:rPr>
        <w:t>ICB's</w:t>
      </w:r>
      <w:r w:rsidRPr="00C57C8D">
        <w:rPr>
          <w:rFonts w:ascii="Arial" w:hAnsi="Arial" w:cs="Arial"/>
        </w:rPr>
        <w:t xml:space="preserve"> recent evaluation of the six Trusts in our system, the Trust’s W</w:t>
      </w:r>
      <w:r w:rsidR="009E2E63">
        <w:rPr>
          <w:rFonts w:ascii="Arial" w:hAnsi="Arial" w:cs="Arial"/>
        </w:rPr>
        <w:t>D</w:t>
      </w:r>
      <w:r w:rsidRPr="00C57C8D">
        <w:rPr>
          <w:rFonts w:ascii="Arial" w:hAnsi="Arial" w:cs="Arial"/>
        </w:rPr>
        <w:t xml:space="preserve">ES results position well when compared to our system partners, where we position higher in </w:t>
      </w:r>
      <w:r w:rsidR="008203B2">
        <w:rPr>
          <w:rFonts w:ascii="Arial" w:hAnsi="Arial" w:cs="Arial"/>
        </w:rPr>
        <w:t>most</w:t>
      </w:r>
      <w:r w:rsidRPr="00C57C8D">
        <w:rPr>
          <w:rFonts w:ascii="Arial" w:hAnsi="Arial" w:cs="Arial"/>
        </w:rPr>
        <w:t xml:space="preserve"> areas. </w:t>
      </w:r>
    </w:p>
    <w:p w14:paraId="591A296A" w14:textId="5FBEAC1F" w:rsidR="00453961" w:rsidRPr="00C47667" w:rsidRDefault="00C47667" w:rsidP="00C47667">
      <w:pPr>
        <w:pBdr>
          <w:bottom w:val="single" w:sz="4" w:space="1" w:color="auto"/>
        </w:pBdr>
        <w:spacing w:before="100" w:beforeAutospacing="1" w:after="100" w:afterAutospacing="1" w:line="360" w:lineRule="auto"/>
        <w:textAlignment w:val="baseline"/>
        <w:outlineLvl w:val="1"/>
        <w:rPr>
          <w:rFonts w:ascii="Arial" w:eastAsia="Times New Roman" w:hAnsi="Arial" w:cs="Arial"/>
          <w:b/>
          <w:bCs/>
          <w:color w:val="2F5496" w:themeColor="accent1" w:themeShade="BF"/>
          <w:sz w:val="24"/>
          <w:szCs w:val="24"/>
          <w:lang w:eastAsia="en-GB"/>
        </w:rPr>
      </w:pPr>
      <w:r>
        <w:rPr>
          <w:rFonts w:ascii="Arial" w:eastAsia="Times New Roman" w:hAnsi="Arial" w:cs="Arial"/>
          <w:b/>
          <w:bCs/>
          <w:color w:val="2F5496" w:themeColor="accent1" w:themeShade="BF"/>
          <w:sz w:val="24"/>
          <w:szCs w:val="24"/>
          <w:lang w:eastAsia="en-GB"/>
        </w:rPr>
        <w:t xml:space="preserve">3. </w:t>
      </w:r>
      <w:r w:rsidR="001A0657">
        <w:rPr>
          <w:rFonts w:ascii="Arial" w:eastAsia="Times New Roman" w:hAnsi="Arial" w:cs="Arial"/>
          <w:b/>
          <w:bCs/>
          <w:color w:val="2F5496" w:themeColor="accent1" w:themeShade="BF"/>
          <w:sz w:val="24"/>
          <w:szCs w:val="24"/>
          <w:lang w:eastAsia="en-GB"/>
        </w:rPr>
        <w:t>Analysis of our</w:t>
      </w:r>
      <w:r w:rsidR="00F11593" w:rsidRPr="00C47667">
        <w:rPr>
          <w:rFonts w:ascii="Arial" w:eastAsia="Times New Roman" w:hAnsi="Arial" w:cs="Arial"/>
          <w:b/>
          <w:bCs/>
          <w:color w:val="2F5496" w:themeColor="accent1" w:themeShade="BF"/>
          <w:sz w:val="24"/>
          <w:szCs w:val="24"/>
          <w:lang w:eastAsia="en-GB"/>
        </w:rPr>
        <w:t xml:space="preserve"> W</w:t>
      </w:r>
      <w:r w:rsidR="00325C24">
        <w:rPr>
          <w:rFonts w:ascii="Arial" w:eastAsia="Times New Roman" w:hAnsi="Arial" w:cs="Arial"/>
          <w:b/>
          <w:bCs/>
          <w:color w:val="2F5496" w:themeColor="accent1" w:themeShade="BF"/>
          <w:sz w:val="24"/>
          <w:szCs w:val="24"/>
          <w:lang w:eastAsia="en-GB"/>
        </w:rPr>
        <w:t>D</w:t>
      </w:r>
      <w:r w:rsidR="00F11593" w:rsidRPr="00C47667">
        <w:rPr>
          <w:rFonts w:ascii="Arial" w:eastAsia="Times New Roman" w:hAnsi="Arial" w:cs="Arial"/>
          <w:b/>
          <w:bCs/>
          <w:color w:val="2F5496" w:themeColor="accent1" w:themeShade="BF"/>
          <w:sz w:val="24"/>
          <w:szCs w:val="24"/>
          <w:lang w:eastAsia="en-GB"/>
        </w:rPr>
        <w:t>ES Outcomes for 2024</w:t>
      </w:r>
      <w:r w:rsidR="000D1F2C">
        <w:rPr>
          <w:rFonts w:ascii="Arial" w:eastAsia="Times New Roman" w:hAnsi="Arial" w:cs="Arial"/>
          <w:b/>
          <w:bCs/>
          <w:color w:val="2F5496" w:themeColor="accent1" w:themeShade="BF"/>
          <w:sz w:val="24"/>
          <w:szCs w:val="24"/>
          <w:lang w:eastAsia="en-GB"/>
        </w:rPr>
        <w:t>/25</w:t>
      </w:r>
    </w:p>
    <w:p w14:paraId="2B6C8325" w14:textId="51B166B1" w:rsidR="00325C24" w:rsidRPr="001E2AE5" w:rsidRDefault="00325C24" w:rsidP="00325C24">
      <w:p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This analysis of our W</w:t>
      </w:r>
      <w:r>
        <w:rPr>
          <w:rFonts w:ascii="Arial" w:eastAsia="Times New Roman" w:hAnsi="Arial" w:cs="Arial"/>
          <w:lang w:eastAsia="en-GB"/>
        </w:rPr>
        <w:t>D</w:t>
      </w:r>
      <w:r w:rsidRPr="001E2AE5">
        <w:rPr>
          <w:rFonts w:ascii="Arial" w:eastAsia="Times New Roman" w:hAnsi="Arial" w:cs="Arial"/>
          <w:lang w:eastAsia="en-GB"/>
        </w:rPr>
        <w:t>ES data is based on ESR and the National Staff survey, with a snapshot date of 31 March 2025.</w:t>
      </w:r>
    </w:p>
    <w:p w14:paraId="7CEFE799"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1, which analyses the representation of disabled staff across the pay bands, we have seen a 20% improvement in the clinical and non-clinical roles of band 8c and above. </w:t>
      </w:r>
    </w:p>
    <w:p w14:paraId="1A94CB86" w14:textId="3B356116"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2, </w:t>
      </w:r>
      <w:r w:rsidRPr="001E2AE5">
        <w:rPr>
          <w:rFonts w:ascii="Arial" w:hAnsi="Arial" w:cs="Arial"/>
        </w:rPr>
        <w:t xml:space="preserve">this year's data shows that 32% of disabled staff were appointed after shortlisting, compared to 35% of non-disabled staff. We can be assured that disabled staff are not disadvantaged in our recruitment processes. </w:t>
      </w:r>
    </w:p>
    <w:p w14:paraId="59509FBB" w14:textId="77777777" w:rsidR="00325C24" w:rsidRPr="001C012F"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C012F">
        <w:rPr>
          <w:rFonts w:ascii="Arial" w:eastAsia="Times New Roman" w:hAnsi="Arial" w:cs="Arial"/>
          <w:lang w:eastAsia="en-GB"/>
        </w:rPr>
        <w:t xml:space="preserve">For WDES indicator 3, </w:t>
      </w:r>
      <w:r w:rsidRPr="001C012F">
        <w:rPr>
          <w:rFonts w:ascii="Arial" w:hAnsi="Arial" w:cs="Arial"/>
        </w:rPr>
        <w:t xml:space="preserve">this year, the data shows that 0.18% of non-disabled staff entered a formal capability process, compared to 1% of disabled staff. However, it is essential to note that we are seeing statistically small numbers of staff entering a </w:t>
      </w:r>
      <w:r w:rsidRPr="001C012F">
        <w:rPr>
          <w:rFonts w:ascii="Arial" w:hAnsi="Arial" w:cs="Arial"/>
        </w:rPr>
        <w:lastRenderedPageBreak/>
        <w:t>formal capability process, the number being 5 for non-disabled staff and 4 for disabled staff. The higher percentages arise because 4 disabled staff from a total of 373 is a larger percentage than 5 non-disabled staff from a total of 2747. It is worth noting that there are challenges in getting a clear picture due to 592 records not being declared, unspecified or prefer not to answer.</w:t>
      </w:r>
    </w:p>
    <w:p w14:paraId="050CB0CA" w14:textId="2CB4F794"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highlight w:val="yellow"/>
          <w:lang w:eastAsia="en-GB"/>
        </w:rPr>
      </w:pPr>
      <w:r w:rsidRPr="001E2AE5">
        <w:rPr>
          <w:rFonts w:ascii="Arial" w:eastAsia="Times New Roman" w:hAnsi="Arial" w:cs="Arial"/>
          <w:lang w:eastAsia="en-GB"/>
        </w:rPr>
        <w:t xml:space="preserve">For WDES indicator 4a, the Trust figures indicate that </w:t>
      </w:r>
      <w:r w:rsidRPr="001E2AE5">
        <w:rPr>
          <w:rFonts w:ascii="Arial" w:hAnsi="Arial" w:cs="Arial"/>
        </w:rPr>
        <w:t xml:space="preserve">22.97% </w:t>
      </w:r>
      <w:r w:rsidRPr="001E2AE5">
        <w:rPr>
          <w:rFonts w:ascii="Arial" w:eastAsia="Times New Roman" w:hAnsi="Arial" w:cs="Arial"/>
          <w:lang w:eastAsia="en-GB"/>
        </w:rPr>
        <w:t>of disabled staff have experienced harassment, bullying, or abuse from patients, relatives, or the public in the last 12 months. This is 3.67% better than the national figure of 26.64%</w:t>
      </w:r>
      <w:r w:rsidR="00486C85">
        <w:rPr>
          <w:rFonts w:ascii="Arial" w:eastAsia="Times New Roman" w:hAnsi="Arial" w:cs="Arial"/>
          <w:lang w:eastAsia="en-GB"/>
        </w:rPr>
        <w:t>, and</w:t>
      </w:r>
      <w:r w:rsidRPr="001E2AE5">
        <w:rPr>
          <w:rFonts w:ascii="Arial" w:eastAsia="Times New Roman" w:hAnsi="Arial" w:cs="Arial"/>
          <w:lang w:eastAsia="en-GB"/>
        </w:rPr>
        <w:t xml:space="preserve"> </w:t>
      </w:r>
      <w:r w:rsidRPr="001E2AE5">
        <w:rPr>
          <w:rFonts w:ascii="Arial" w:hAnsi="Arial" w:cs="Arial"/>
        </w:rPr>
        <w:t xml:space="preserve">22.97% </w:t>
      </w:r>
      <w:r w:rsidRPr="001E2AE5">
        <w:rPr>
          <w:rFonts w:ascii="Arial" w:eastAsia="Times New Roman" w:hAnsi="Arial" w:cs="Arial"/>
          <w:lang w:eastAsia="en-GB"/>
        </w:rPr>
        <w:t>represents a 4.55% improvement over the previous year's figure of 27.52%. The figure for non-disabled staff in the Trust stands at 19.11%, which is 2.49% better than the national figure of 21.60%. We have observed an improvement in the number of disabled staff completing the NSS, increasing from 286 in 2020 to 566 in 2024.</w:t>
      </w:r>
    </w:p>
    <w:p w14:paraId="52E6DF6B" w14:textId="529A748F"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4b, the Trust figures indicate that 12.79% of disabled staff experienced harassment, bullying, or abuse from managers in the past 12 months. This is 1.3% </w:t>
      </w:r>
      <w:r w:rsidR="00CD33EE">
        <w:rPr>
          <w:rFonts w:ascii="Arial" w:eastAsia="Times New Roman" w:hAnsi="Arial" w:cs="Arial"/>
          <w:lang w:eastAsia="en-GB"/>
        </w:rPr>
        <w:t>above</w:t>
      </w:r>
      <w:r w:rsidRPr="001E2AE5">
        <w:rPr>
          <w:rFonts w:ascii="Arial" w:eastAsia="Times New Roman" w:hAnsi="Arial" w:cs="Arial"/>
          <w:lang w:eastAsia="en-GB"/>
        </w:rPr>
        <w:t xml:space="preserve"> the national figure of 11.49%. However, 12.79% reflects a 0.36% increase over the previous year's figure of 12.43%, but reflects progress since 2020, when the figure was 16.14%. For non-disabled staff in the Trust, the figure stands at 5.34%, 0.73% lower than the national figure of 6.07%.</w:t>
      </w:r>
    </w:p>
    <w:p w14:paraId="7E15E1E3"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For WDES indicator 4c, the Trust figures indicate that 18.34% of disabled staff reported experiencing harassment, bullying or abuse from other colleagues in the last 12 months. This is 0.38% higher than the national figure of 17.96%. Also, 18.34% reflects a 0.44% increase over the previous year's figure of 17.90%. For non-disabled staff in the Trust, the figure is 10.31%, 1.5% lower than the national figure of 11.81%.</w:t>
      </w:r>
    </w:p>
    <w:p w14:paraId="2887AF63"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highlight w:val="yellow"/>
          <w:lang w:eastAsia="en-GB"/>
        </w:rPr>
      </w:pPr>
      <w:r w:rsidRPr="001E2AE5">
        <w:rPr>
          <w:rFonts w:ascii="Arial" w:eastAsia="Times New Roman" w:hAnsi="Arial" w:cs="Arial"/>
          <w:lang w:eastAsia="en-GB"/>
        </w:rPr>
        <w:t>For WDES indicator 4d, the Trust figures indicate that 63.49% of disabled staff say the last time they experienced harassment, bullying or abuse at work, they or a colleague reported it. This figure is 0.51% better than the national average of 62.98%. Notably, this represents a significant improvement of 6.6% on the previous year's figure of 56.38%. However, the figure for non-disabled staff is 68.4%, a 7.13% improvement on the previous year's figure of 61.27%.</w:t>
      </w:r>
    </w:p>
    <w:p w14:paraId="78602E6C" w14:textId="0B227593"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5, the Trust figures indicate that 59.22% of disabled staff </w:t>
      </w:r>
      <w:r w:rsidRPr="001E2AE5">
        <w:rPr>
          <w:rFonts w:ascii="Arial" w:hAnsi="Arial" w:cs="Arial"/>
        </w:rPr>
        <w:t xml:space="preserve">believe that their organisation provides equal opportunities for career progression or promotion. </w:t>
      </w:r>
      <w:r w:rsidRPr="001E2AE5">
        <w:rPr>
          <w:rFonts w:ascii="Arial" w:eastAsia="Times New Roman" w:hAnsi="Arial" w:cs="Arial"/>
          <w:lang w:eastAsia="en-GB"/>
        </w:rPr>
        <w:t xml:space="preserve">This is 4.09% better than the national figure of 55.13%. </w:t>
      </w:r>
      <w:r w:rsidR="00496BCC">
        <w:rPr>
          <w:rFonts w:ascii="Arial" w:eastAsia="Times New Roman" w:hAnsi="Arial" w:cs="Arial"/>
          <w:lang w:eastAsia="en-GB"/>
        </w:rPr>
        <w:t xml:space="preserve">However, </w:t>
      </w:r>
      <w:r w:rsidRPr="001E2AE5">
        <w:rPr>
          <w:rFonts w:ascii="Arial" w:eastAsia="Times New Roman" w:hAnsi="Arial" w:cs="Arial"/>
          <w:lang w:eastAsia="en-GB"/>
        </w:rPr>
        <w:t>59.22% reflects a 2.48% decrease over the previous year's figure of 61.7%. However, this demonstrates a continual improvement since 2020, when the figure was 52.5%. For non-disabled staff in the Trust, the figure is 68.05%, 7.3% better than the national figure of 60.75%.</w:t>
      </w:r>
    </w:p>
    <w:p w14:paraId="1CE1CDB0"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lastRenderedPageBreak/>
        <w:t>For WDES indicator 6, the Trust figures indicate that 12.47% of disabled staff have felt pressure from their manager to come to work, despite not feeling well enough to perform their duties. This is better than the national figure of 17.91%. Also, this year's figure is an improvement from last year's figure of 20.63%, and it shows a continual improvement since 2020, when the figure was 24.58%.</w:t>
      </w:r>
    </w:p>
    <w:p w14:paraId="1D9C9482"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For WDES indicator 7, the Trust figures indicate that 45.76% of disabled staff are satisfied with the extent to which their organisation values their work. This is better than the national figure of 44.33%, but below the figure for non-disabled staff at 58.56%. This is a declining trend since 2020, when the figure was 49.31%.</w:t>
      </w:r>
    </w:p>
    <w:p w14:paraId="1AFA0237" w14:textId="7977F8F0"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8, the Trust figures indicate that 85.79% staff with a </w:t>
      </w:r>
      <w:r w:rsidR="00496BCC" w:rsidRPr="001E2AE5">
        <w:rPr>
          <w:rFonts w:ascii="Arial" w:eastAsia="Times New Roman" w:hAnsi="Arial" w:cs="Arial"/>
          <w:lang w:eastAsia="en-GB"/>
        </w:rPr>
        <w:t>long-</w:t>
      </w:r>
      <w:r w:rsidR="00496BCC">
        <w:rPr>
          <w:rFonts w:ascii="Arial" w:eastAsia="Times New Roman" w:hAnsi="Arial" w:cs="Arial"/>
          <w:lang w:eastAsia="en-GB"/>
        </w:rPr>
        <w:t xml:space="preserve">term </w:t>
      </w:r>
      <w:r w:rsidRPr="001E2AE5">
        <w:rPr>
          <w:rFonts w:ascii="Arial" w:eastAsia="Times New Roman" w:hAnsi="Arial" w:cs="Arial"/>
          <w:lang w:eastAsia="en-GB"/>
        </w:rPr>
        <w:t>health condition or illness saying their employer has made reasonable adjustment(s) to enable them to carry out their work. This is a year-on-year improvement since 2022, when the figure was 79.65%, and is significantly better than the national comparison figure of 79.60%.</w:t>
      </w:r>
    </w:p>
    <w:p w14:paraId="0433BA4C" w14:textId="177904BA"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For WDES indicator 9, the staff engagement score for disabled staff is 6.88, which is above the national comparison figure of 6.74</w:t>
      </w:r>
      <w:r w:rsidR="00445D20">
        <w:rPr>
          <w:rFonts w:ascii="Arial" w:eastAsia="Times New Roman" w:hAnsi="Arial" w:cs="Arial"/>
          <w:lang w:eastAsia="en-GB"/>
        </w:rPr>
        <w:t xml:space="preserve"> and has improved steadily since 2020, when the figure was 6.83. However, the figure for non-disabled staff is 7.36, which is </w:t>
      </w:r>
      <w:r w:rsidR="00794F96">
        <w:rPr>
          <w:rFonts w:ascii="Arial" w:eastAsia="Times New Roman" w:hAnsi="Arial" w:cs="Arial"/>
          <w:lang w:eastAsia="en-GB"/>
        </w:rPr>
        <w:t>higher than</w:t>
      </w:r>
      <w:r w:rsidR="00445D20">
        <w:rPr>
          <w:rFonts w:ascii="Arial" w:eastAsia="Times New Roman" w:hAnsi="Arial" w:cs="Arial"/>
          <w:lang w:eastAsia="en-GB"/>
        </w:rPr>
        <w:t xml:space="preserve"> that of disabled staff</w:t>
      </w:r>
      <w:r w:rsidRPr="001E2AE5">
        <w:rPr>
          <w:rFonts w:ascii="Arial" w:eastAsia="Times New Roman" w:hAnsi="Arial" w:cs="Arial"/>
          <w:lang w:eastAsia="en-GB"/>
        </w:rPr>
        <w:t>.</w:t>
      </w:r>
    </w:p>
    <w:p w14:paraId="4F7E9F92" w14:textId="77777777" w:rsidR="00325C24" w:rsidRPr="001E2AE5" w:rsidRDefault="00325C24" w:rsidP="00325C24">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1E2AE5">
        <w:rPr>
          <w:rFonts w:ascii="Arial" w:eastAsia="Times New Roman" w:hAnsi="Arial" w:cs="Arial"/>
          <w:lang w:eastAsia="en-GB"/>
        </w:rPr>
        <w:t xml:space="preserve">For WDES indicator 10, </w:t>
      </w:r>
      <w:r>
        <w:rPr>
          <w:rFonts w:ascii="Arial" w:eastAsia="Times New Roman" w:hAnsi="Arial" w:cs="Arial"/>
          <w:lang w:eastAsia="en-GB"/>
        </w:rPr>
        <w:t xml:space="preserve">the </w:t>
      </w:r>
      <w:r>
        <w:rPr>
          <w:rFonts w:ascii="Arial" w:eastAsia="Calibri" w:hAnsi="Arial" w:cs="Arial"/>
        </w:rPr>
        <w:t>p</w:t>
      </w:r>
      <w:r w:rsidRPr="001E2AE5">
        <w:rPr>
          <w:rFonts w:ascii="Arial" w:eastAsia="Calibri" w:hAnsi="Arial" w:cs="Arial"/>
        </w:rPr>
        <w:t>ercentage difference between the organisation’s board voting membership and its overall workforce</w:t>
      </w:r>
      <w:r>
        <w:rPr>
          <w:rFonts w:ascii="Arial" w:eastAsia="Calibri" w:hAnsi="Arial" w:cs="Arial"/>
        </w:rPr>
        <w:t xml:space="preserve"> is 0.96%, with 9.09% of the board voting membership declaring a disability, compared to 10.05% of the overall workforce.</w:t>
      </w:r>
    </w:p>
    <w:p w14:paraId="4287C770" w14:textId="0D9FCABA" w:rsidR="00A459A7" w:rsidRPr="00C47667" w:rsidRDefault="00C47667" w:rsidP="00C47667">
      <w:pPr>
        <w:pBdr>
          <w:bottom w:val="single" w:sz="4" w:space="1" w:color="auto"/>
        </w:pBdr>
        <w:autoSpaceDE w:val="0"/>
        <w:autoSpaceDN w:val="0"/>
        <w:adjustRightInd w:val="0"/>
        <w:spacing w:before="100" w:beforeAutospacing="1" w:after="100" w:afterAutospacing="1" w:line="360" w:lineRule="auto"/>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4. </w:t>
      </w:r>
      <w:r w:rsidR="002412B6" w:rsidRPr="00C47667">
        <w:rPr>
          <w:rFonts w:ascii="Arial" w:hAnsi="Arial" w:cs="Arial"/>
          <w:b/>
          <w:bCs/>
          <w:color w:val="2F5496" w:themeColor="accent1" w:themeShade="BF"/>
          <w:sz w:val="24"/>
          <w:szCs w:val="24"/>
        </w:rPr>
        <w:t xml:space="preserve">Our </w:t>
      </w:r>
      <w:r w:rsidR="00221FC5">
        <w:rPr>
          <w:rFonts w:ascii="Arial" w:hAnsi="Arial" w:cs="Arial"/>
          <w:b/>
          <w:bCs/>
          <w:color w:val="2F5496" w:themeColor="accent1" w:themeShade="BF"/>
          <w:sz w:val="24"/>
          <w:szCs w:val="24"/>
        </w:rPr>
        <w:t>Disability</w:t>
      </w:r>
      <w:r w:rsidR="00692036" w:rsidRPr="00C47667">
        <w:rPr>
          <w:rFonts w:ascii="Arial" w:hAnsi="Arial" w:cs="Arial"/>
          <w:b/>
          <w:bCs/>
          <w:color w:val="2F5496" w:themeColor="accent1" w:themeShade="BF"/>
          <w:sz w:val="24"/>
          <w:szCs w:val="24"/>
        </w:rPr>
        <w:t xml:space="preserve"> Equity Work Over the Past 12 Months</w:t>
      </w:r>
    </w:p>
    <w:p w14:paraId="72E6381C" w14:textId="14B8BAD3"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 xml:space="preserve">Respect </w:t>
      </w:r>
      <w:r w:rsidR="00867B16" w:rsidRPr="00C57C8D">
        <w:rPr>
          <w:rFonts w:ascii="Arial" w:hAnsi="Arial" w:cs="Arial"/>
          <w:b/>
          <w:bCs/>
        </w:rPr>
        <w:t xml:space="preserve">- </w:t>
      </w:r>
      <w:r w:rsidRPr="00C57C8D">
        <w:rPr>
          <w:rFonts w:ascii="Arial" w:hAnsi="Arial" w:cs="Arial"/>
        </w:rPr>
        <w:t>The objective for the original respect campaign</w:t>
      </w:r>
      <w:r w:rsidR="00221FC5">
        <w:rPr>
          <w:rFonts w:ascii="Arial" w:hAnsi="Arial" w:cs="Arial"/>
        </w:rPr>
        <w:t>, launched in November 2023,</w:t>
      </w:r>
      <w:r w:rsidRPr="00C57C8D">
        <w:rPr>
          <w:rFonts w:ascii="Arial" w:hAnsi="Arial" w:cs="Arial"/>
        </w:rPr>
        <w:t xml:space="preserve"> was in response to anecdotal feedback from our staff networks, with the key aim of driving up the reporting of bullying and harassment between staff. This has subsequently become business as usual in reporting. Our </w:t>
      </w:r>
      <w:r w:rsidR="00FF004A">
        <w:rPr>
          <w:rFonts w:ascii="Arial" w:hAnsi="Arial" w:cs="Arial"/>
        </w:rPr>
        <w:t>2024</w:t>
      </w:r>
      <w:r w:rsidRPr="00C57C8D">
        <w:rPr>
          <w:rFonts w:ascii="Arial" w:hAnsi="Arial" w:cs="Arial"/>
        </w:rPr>
        <w:t xml:space="preserve"> survey results show that the most statistically significant improvement (6.89%) is for the question ‘the last time I or a colleague received bullying, harassment or discrimination, I or a colleague reported it’. As such, we can see the impact of our work on Respect in the staff survey, where we have addressed under-reporting and driven up the reporting of these incidents.  </w:t>
      </w:r>
    </w:p>
    <w:p w14:paraId="72085013" w14:textId="5CC8D24A"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No Excuse for Abuse</w:t>
      </w:r>
      <w:r w:rsidR="00B6772E">
        <w:rPr>
          <w:rFonts w:ascii="Arial" w:hAnsi="Arial" w:cs="Arial"/>
        </w:rPr>
        <w:t xml:space="preserve"> - </w:t>
      </w:r>
      <w:r w:rsidR="00B6772E" w:rsidRPr="00B6772E">
        <w:rPr>
          <w:rFonts w:ascii="Arial" w:hAnsi="Arial" w:cs="Arial"/>
        </w:rPr>
        <w:t>In December 2024, the Trust launched the No Excuse for Abuse Framework toolkit. This was widely consulted with stakeholders and designed to support managers and staff when subjected to abuse by service users in their care. Since its launch, the toolkit has been</w:t>
      </w:r>
      <w:r w:rsidR="001C61ED" w:rsidRPr="00B6772E">
        <w:rPr>
          <w:rFonts w:ascii="Arial" w:hAnsi="Arial" w:cs="Arial"/>
        </w:rPr>
        <w:t xml:space="preserve"> </w:t>
      </w:r>
      <w:r w:rsidR="001C61ED" w:rsidRPr="00C57C8D">
        <w:rPr>
          <w:rFonts w:ascii="Arial" w:hAnsi="Arial" w:cs="Arial"/>
        </w:rPr>
        <w:t xml:space="preserve">recognised as QI Charter of the Month in December 2024 and </w:t>
      </w:r>
      <w:r w:rsidR="001C61ED" w:rsidRPr="00C57C8D">
        <w:rPr>
          <w:rFonts w:ascii="Arial" w:hAnsi="Arial" w:cs="Arial"/>
        </w:rPr>
        <w:lastRenderedPageBreak/>
        <w:t xml:space="preserve">subsequently reviewed and endorsed by UNISON, who found it </w:t>
      </w:r>
      <w:r w:rsidRPr="00C57C8D">
        <w:rPr>
          <w:rFonts w:ascii="Arial" w:hAnsi="Arial" w:cs="Arial"/>
        </w:rPr>
        <w:t xml:space="preserve">comprehensive and proactive. We are adding their logo to associated posters and documentation. </w:t>
      </w:r>
    </w:p>
    <w:p w14:paraId="20E0703A" w14:textId="360D4A00"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NHS England EDI Improvement Plan</w:t>
      </w:r>
      <w:r w:rsidR="00867B16" w:rsidRPr="00C57C8D">
        <w:rPr>
          <w:rFonts w:ascii="Arial" w:hAnsi="Arial" w:cs="Arial"/>
          <w:b/>
          <w:bCs/>
        </w:rPr>
        <w:t xml:space="preserve"> - </w:t>
      </w:r>
      <w:r w:rsidRPr="00C57C8D">
        <w:rPr>
          <w:rFonts w:ascii="Arial" w:hAnsi="Arial" w:cs="Arial"/>
        </w:rPr>
        <w:t>The Trust Board implemented the requirements of the six high-level NHSE EDI Improvement Plan actions. Actions to address the high impact were agreed upon through a Board development day and associated EMT papers. This is demonstrated by all board members having EDI objectives in their annual appraisals.</w:t>
      </w:r>
    </w:p>
    <w:p w14:paraId="5D3E1824" w14:textId="6F3A6731" w:rsidR="00F561FD" w:rsidRPr="00C57C8D" w:rsidRDefault="00F561FD" w:rsidP="002412B6">
      <w:pPr>
        <w:spacing w:before="100" w:beforeAutospacing="1" w:after="100" w:afterAutospacing="1" w:line="360" w:lineRule="auto"/>
        <w:rPr>
          <w:rFonts w:ascii="Arial" w:hAnsi="Arial" w:cs="Arial"/>
        </w:rPr>
      </w:pPr>
      <w:r w:rsidRPr="00C57C8D">
        <w:rPr>
          <w:rFonts w:ascii="Arial" w:hAnsi="Arial" w:cs="Arial"/>
        </w:rPr>
        <w:t xml:space="preserve">Following on from an EDI Roundtable led by NHS Providers that examined experiences of implementing the improvement plan, the EDI Policy Development Principal Lead from NHS England has undertaken a </w:t>
      </w:r>
      <w:r w:rsidR="00496BCC">
        <w:rPr>
          <w:rFonts w:ascii="Arial" w:hAnsi="Arial" w:cs="Arial"/>
        </w:rPr>
        <w:t>b</w:t>
      </w:r>
      <w:r w:rsidRPr="00C57C8D">
        <w:rPr>
          <w:rFonts w:ascii="Arial" w:hAnsi="Arial" w:cs="Arial"/>
        </w:rPr>
        <w:t xml:space="preserve">est </w:t>
      </w:r>
      <w:r w:rsidR="00496BCC">
        <w:rPr>
          <w:rFonts w:ascii="Arial" w:hAnsi="Arial" w:cs="Arial"/>
        </w:rPr>
        <w:t>p</w:t>
      </w:r>
      <w:r w:rsidRPr="00C57C8D">
        <w:rPr>
          <w:rFonts w:ascii="Arial" w:hAnsi="Arial" w:cs="Arial"/>
        </w:rPr>
        <w:t xml:space="preserve">ractice </w:t>
      </w:r>
      <w:r w:rsidR="00496BCC">
        <w:rPr>
          <w:rFonts w:ascii="Arial" w:hAnsi="Arial" w:cs="Arial"/>
        </w:rPr>
        <w:t>i</w:t>
      </w:r>
      <w:r w:rsidRPr="00C57C8D">
        <w:rPr>
          <w:rFonts w:ascii="Arial" w:hAnsi="Arial" w:cs="Arial"/>
        </w:rPr>
        <w:t xml:space="preserve">nterview with the Trust's EDI </w:t>
      </w:r>
      <w:proofErr w:type="gramStart"/>
      <w:r w:rsidRPr="00C57C8D">
        <w:rPr>
          <w:rFonts w:ascii="Arial" w:hAnsi="Arial" w:cs="Arial"/>
        </w:rPr>
        <w:t>Lead</w:t>
      </w:r>
      <w:proofErr w:type="gramEnd"/>
      <w:r w:rsidRPr="00C57C8D">
        <w:rPr>
          <w:rFonts w:ascii="Arial" w:hAnsi="Arial" w:cs="Arial"/>
        </w:rPr>
        <w:t xml:space="preserve"> to develop an EDI Best Practice Case Study regarding our approach to implementing the NHSE EDI Improvement Plan.</w:t>
      </w:r>
    </w:p>
    <w:p w14:paraId="05F8C756" w14:textId="7D8C206B" w:rsidR="00280735" w:rsidRPr="00A64DD1" w:rsidRDefault="004D7730" w:rsidP="002412B6">
      <w:pPr>
        <w:spacing w:before="100" w:beforeAutospacing="1" w:after="100" w:afterAutospacing="1" w:line="360" w:lineRule="auto"/>
        <w:contextualSpacing/>
        <w:rPr>
          <w:rFonts w:ascii="Arial" w:hAnsi="Arial" w:cs="Arial"/>
          <w:b/>
          <w:bCs/>
        </w:rPr>
      </w:pPr>
      <w:r w:rsidRPr="00C57C8D">
        <w:rPr>
          <w:rFonts w:ascii="Arial" w:hAnsi="Arial" w:cs="Arial"/>
          <w:b/>
          <w:bCs/>
        </w:rPr>
        <w:t>Changes in staff composition</w:t>
      </w:r>
      <w:r w:rsidR="00867B16" w:rsidRPr="00C57C8D">
        <w:rPr>
          <w:rFonts w:ascii="Arial" w:hAnsi="Arial" w:cs="Arial"/>
          <w:b/>
          <w:bCs/>
        </w:rPr>
        <w:t xml:space="preserve"> - </w:t>
      </w:r>
      <w:r w:rsidR="00FB769E" w:rsidRPr="00C57C8D">
        <w:rPr>
          <w:rFonts w:ascii="Arial" w:hAnsi="Arial" w:cs="Arial"/>
        </w:rPr>
        <w:t xml:space="preserve">Through EDI workstreams, including a deep dive analysis of recruitment by area through an EDI lens and initiatives aimed at reducing ‘unspecified’ entries in equality data within ESR, the Trust has </w:t>
      </w:r>
      <w:r w:rsidR="004B3409" w:rsidRPr="00C57C8D">
        <w:rPr>
          <w:rFonts w:ascii="Arial" w:hAnsi="Arial" w:cs="Arial"/>
        </w:rPr>
        <w:t>seen</w:t>
      </w:r>
      <w:r w:rsidR="00FB769E" w:rsidRPr="00C57C8D">
        <w:rPr>
          <w:rFonts w:ascii="Arial" w:hAnsi="Arial" w:cs="Arial"/>
        </w:rPr>
        <w:t xml:space="preserve"> </w:t>
      </w:r>
      <w:r w:rsidR="004B3409" w:rsidRPr="00C57C8D">
        <w:rPr>
          <w:rFonts w:ascii="Arial" w:hAnsi="Arial" w:cs="Arial"/>
        </w:rPr>
        <w:t xml:space="preserve">a </w:t>
      </w:r>
      <w:r w:rsidR="00FB769E" w:rsidRPr="00C57C8D">
        <w:rPr>
          <w:rFonts w:ascii="Arial" w:hAnsi="Arial" w:cs="Arial"/>
        </w:rPr>
        <w:t xml:space="preserve">year-on-year improvement in workforce representation. </w:t>
      </w:r>
      <w:r w:rsidR="008203B2">
        <w:rPr>
          <w:rFonts w:ascii="Arial" w:hAnsi="Arial" w:cs="Arial"/>
        </w:rPr>
        <w:t>Disability</w:t>
      </w:r>
      <w:r w:rsidR="00FB769E" w:rsidRPr="00C57C8D">
        <w:rPr>
          <w:rFonts w:ascii="Arial" w:hAnsi="Arial" w:cs="Arial"/>
        </w:rPr>
        <w:t xml:space="preserve"> representation increased from 3.</w:t>
      </w:r>
      <w:r w:rsidR="00225476">
        <w:rPr>
          <w:rFonts w:ascii="Arial" w:hAnsi="Arial" w:cs="Arial"/>
        </w:rPr>
        <w:t>9</w:t>
      </w:r>
      <w:r w:rsidR="00FB769E" w:rsidRPr="00C57C8D">
        <w:rPr>
          <w:rFonts w:ascii="Arial" w:hAnsi="Arial" w:cs="Arial"/>
        </w:rPr>
        <w:t xml:space="preserve">% in 2019 to </w:t>
      </w:r>
      <w:r w:rsidR="00225476">
        <w:rPr>
          <w:rFonts w:ascii="Arial" w:hAnsi="Arial" w:cs="Arial"/>
        </w:rPr>
        <w:t>10.05</w:t>
      </w:r>
      <w:r w:rsidR="00FB769E" w:rsidRPr="00C57C8D">
        <w:rPr>
          <w:rFonts w:ascii="Arial" w:hAnsi="Arial" w:cs="Arial"/>
        </w:rPr>
        <w:t>% in March 2025.</w:t>
      </w:r>
      <w:r w:rsidR="00280735">
        <w:rPr>
          <w:rFonts w:ascii="Arial" w:hAnsi="Arial" w:cs="Arial"/>
          <w:b/>
          <w:bCs/>
        </w:rPr>
        <w:t xml:space="preserve"> </w:t>
      </w:r>
      <w:r w:rsidR="006452A3" w:rsidRPr="00C57C8D">
        <w:rPr>
          <w:rFonts w:ascii="Arial" w:hAnsi="Arial" w:cs="Arial"/>
        </w:rPr>
        <w:t>Furthermore, our previous analysis of W</w:t>
      </w:r>
      <w:r w:rsidR="00225476">
        <w:rPr>
          <w:rFonts w:ascii="Arial" w:hAnsi="Arial" w:cs="Arial"/>
        </w:rPr>
        <w:t>D</w:t>
      </w:r>
      <w:r w:rsidR="006452A3" w:rsidRPr="00C57C8D">
        <w:rPr>
          <w:rFonts w:ascii="Arial" w:hAnsi="Arial" w:cs="Arial"/>
        </w:rPr>
        <w:t xml:space="preserve">ES data identified barriers to the representation of </w:t>
      </w:r>
      <w:r w:rsidR="00225476">
        <w:rPr>
          <w:rFonts w:ascii="Arial" w:hAnsi="Arial" w:cs="Arial"/>
        </w:rPr>
        <w:t>disabled</w:t>
      </w:r>
      <w:r w:rsidR="006452A3" w:rsidRPr="00C57C8D">
        <w:rPr>
          <w:rFonts w:ascii="Arial" w:hAnsi="Arial" w:cs="Arial"/>
        </w:rPr>
        <w:t xml:space="preserve"> staff in clinical and non-clinical roles at Band </w:t>
      </w:r>
      <w:r w:rsidR="00225476">
        <w:rPr>
          <w:rFonts w:ascii="Arial" w:hAnsi="Arial" w:cs="Arial"/>
        </w:rPr>
        <w:t>8c</w:t>
      </w:r>
      <w:r w:rsidR="006452A3" w:rsidRPr="00C57C8D">
        <w:rPr>
          <w:rFonts w:ascii="Arial" w:hAnsi="Arial" w:cs="Arial"/>
        </w:rPr>
        <w:t xml:space="preserve"> and above. Over the past 12 months, we have seen a </w:t>
      </w:r>
      <w:r w:rsidR="00225476">
        <w:rPr>
          <w:rFonts w:ascii="Arial" w:hAnsi="Arial" w:cs="Arial"/>
        </w:rPr>
        <w:t>20</w:t>
      </w:r>
      <w:r w:rsidR="006452A3" w:rsidRPr="00C57C8D">
        <w:rPr>
          <w:rFonts w:ascii="Arial" w:hAnsi="Arial" w:cs="Arial"/>
        </w:rPr>
        <w:t xml:space="preserve">% improvement in </w:t>
      </w:r>
      <w:r w:rsidR="003C22EF">
        <w:rPr>
          <w:rFonts w:ascii="Arial" w:hAnsi="Arial" w:cs="Arial"/>
        </w:rPr>
        <w:t>this representation</w:t>
      </w:r>
      <w:r w:rsidR="006452A3" w:rsidRPr="00C57C8D">
        <w:rPr>
          <w:rFonts w:ascii="Arial" w:hAnsi="Arial" w:cs="Arial"/>
        </w:rPr>
        <w:t>.</w:t>
      </w:r>
      <w:r w:rsidR="00867B16" w:rsidRPr="00C57C8D">
        <w:rPr>
          <w:rFonts w:ascii="Arial" w:hAnsi="Arial" w:cs="Arial"/>
        </w:rPr>
        <w:t xml:space="preserve"> </w:t>
      </w:r>
      <w:r w:rsidR="00A64DD1">
        <w:rPr>
          <w:rFonts w:ascii="Arial" w:hAnsi="Arial" w:cs="Arial"/>
          <w:b/>
          <w:bCs/>
        </w:rPr>
        <w:br/>
      </w:r>
    </w:p>
    <w:p w14:paraId="2548FD18" w14:textId="641220FD" w:rsidR="008203B2" w:rsidRDefault="00B769F3" w:rsidP="008203B2">
      <w:pPr>
        <w:spacing w:before="100" w:beforeAutospacing="1" w:after="100" w:afterAutospacing="1" w:line="360" w:lineRule="auto"/>
        <w:rPr>
          <w:rFonts w:ascii="Arial" w:hAnsi="Arial" w:cs="Arial"/>
        </w:rPr>
      </w:pPr>
      <w:r w:rsidRPr="00C57C8D">
        <w:rPr>
          <w:rFonts w:ascii="Arial" w:hAnsi="Arial" w:cs="Arial"/>
          <w:b/>
          <w:bCs/>
        </w:rPr>
        <w:t>Recruitment Deep Dive</w:t>
      </w:r>
      <w:r w:rsidR="00FF1536" w:rsidRPr="00C57C8D">
        <w:rPr>
          <w:rFonts w:ascii="Arial" w:hAnsi="Arial" w:cs="Arial"/>
        </w:rPr>
        <w:t xml:space="preserve"> - </w:t>
      </w:r>
      <w:r w:rsidR="006A7D76" w:rsidRPr="00C57C8D">
        <w:rPr>
          <w:rFonts w:ascii="Arial" w:hAnsi="Arial" w:cs="Arial"/>
        </w:rPr>
        <w:t xml:space="preserve">A detailed recruitment report was created that applies an EDI perspective to our recruitment activities </w:t>
      </w:r>
      <w:r w:rsidR="00FF1536" w:rsidRPr="00C57C8D">
        <w:rPr>
          <w:rFonts w:ascii="Arial" w:hAnsi="Arial" w:cs="Arial"/>
        </w:rPr>
        <w:t xml:space="preserve">between </w:t>
      </w:r>
      <w:r w:rsidR="00F663C1" w:rsidRPr="00C57C8D">
        <w:rPr>
          <w:rFonts w:ascii="Arial" w:hAnsi="Arial" w:cs="Arial"/>
        </w:rPr>
        <w:t xml:space="preserve">April </w:t>
      </w:r>
      <w:r w:rsidR="00FF1536" w:rsidRPr="00C57C8D">
        <w:rPr>
          <w:rFonts w:ascii="Arial" w:hAnsi="Arial" w:cs="Arial"/>
        </w:rPr>
        <w:t xml:space="preserve">and </w:t>
      </w:r>
      <w:r w:rsidR="00F663C1" w:rsidRPr="00C57C8D">
        <w:rPr>
          <w:rFonts w:ascii="Arial" w:hAnsi="Arial" w:cs="Arial"/>
        </w:rPr>
        <w:t>October 2024</w:t>
      </w:r>
      <w:r w:rsidR="006A7D76" w:rsidRPr="00C57C8D">
        <w:rPr>
          <w:rFonts w:ascii="Arial" w:hAnsi="Arial" w:cs="Arial"/>
        </w:rPr>
        <w:t xml:space="preserve">, considering protected characteristics. Insights from this report </w:t>
      </w:r>
      <w:r w:rsidR="00496BCC">
        <w:rPr>
          <w:rFonts w:ascii="Arial" w:hAnsi="Arial" w:cs="Arial"/>
        </w:rPr>
        <w:t>are</w:t>
      </w:r>
      <w:r w:rsidR="006A7D76" w:rsidRPr="00C57C8D">
        <w:rPr>
          <w:rFonts w:ascii="Arial" w:hAnsi="Arial" w:cs="Arial"/>
        </w:rPr>
        <w:t xml:space="preserve"> shared with HR Business Partners, who incorporate this information into their workforce planning meetings to address underrepresentation and to implement actions that support diverse recruitment strategies.</w:t>
      </w:r>
      <w:r w:rsidR="00F663C1" w:rsidRPr="00C57C8D">
        <w:rPr>
          <w:rFonts w:ascii="Arial" w:hAnsi="Arial" w:cs="Arial"/>
        </w:rPr>
        <w:t xml:space="preserve"> </w:t>
      </w:r>
      <w:r w:rsidR="009C3C3B">
        <w:rPr>
          <w:rFonts w:ascii="Arial" w:hAnsi="Arial" w:cs="Arial"/>
        </w:rPr>
        <w:t>The improving demographics of the Trust workforce testify to this collaborative approach.</w:t>
      </w:r>
    </w:p>
    <w:p w14:paraId="6EB7AA40" w14:textId="77777777" w:rsidR="0046427F" w:rsidRDefault="00621E58" w:rsidP="008203B2">
      <w:pPr>
        <w:spacing w:before="100" w:beforeAutospacing="1" w:after="100" w:afterAutospacing="1" w:line="360" w:lineRule="auto"/>
        <w:rPr>
          <w:rFonts w:ascii="Arial" w:hAnsi="Arial" w:cs="Arial"/>
          <w:b/>
          <w:bCs/>
        </w:rPr>
      </w:pPr>
      <w:r w:rsidRPr="00621E58">
        <w:rPr>
          <w:rFonts w:ascii="Arial" w:hAnsi="Arial" w:cs="Arial"/>
          <w:b/>
          <w:bCs/>
        </w:rPr>
        <w:t>Disability Staff Network Support</w:t>
      </w:r>
      <w:r w:rsidR="008203B2">
        <w:rPr>
          <w:rFonts w:ascii="Arial" w:hAnsi="Arial" w:cs="Arial"/>
        </w:rPr>
        <w:t xml:space="preserve"> </w:t>
      </w:r>
      <w:r>
        <w:rPr>
          <w:rFonts w:ascii="Arial" w:hAnsi="Arial" w:cs="Arial"/>
        </w:rPr>
        <w:t>–</w:t>
      </w:r>
      <w:r w:rsidR="008203B2">
        <w:rPr>
          <w:rFonts w:ascii="Arial" w:hAnsi="Arial" w:cs="Arial"/>
        </w:rPr>
        <w:t xml:space="preserve"> </w:t>
      </w:r>
      <w:r>
        <w:rPr>
          <w:rFonts w:ascii="Arial" w:hAnsi="Arial" w:cs="Arial"/>
        </w:rPr>
        <w:t xml:space="preserve">The Trust's disability staff network has been instrumental in raising awareness </w:t>
      </w:r>
      <w:r w:rsidR="0046427F">
        <w:rPr>
          <w:rFonts w:ascii="Arial" w:hAnsi="Arial" w:cs="Arial"/>
        </w:rPr>
        <w:t>through developing resources, supporting</w:t>
      </w:r>
      <w:r>
        <w:rPr>
          <w:rFonts w:ascii="Arial" w:hAnsi="Arial" w:cs="Arial"/>
        </w:rPr>
        <w:t xml:space="preserve"> the Trust to implement the Access to Work scheme</w:t>
      </w:r>
      <w:r w:rsidR="0046427F">
        <w:rPr>
          <w:rFonts w:ascii="Arial" w:hAnsi="Arial" w:cs="Arial"/>
        </w:rPr>
        <w:t>, and ensuring accessible equipment was made available in the Trust HQ.</w:t>
      </w:r>
      <w:r>
        <w:rPr>
          <w:rFonts w:ascii="Arial" w:hAnsi="Arial" w:cs="Arial"/>
        </w:rPr>
        <w:t xml:space="preserve"> </w:t>
      </w:r>
      <w:r w:rsidR="00287DBB" w:rsidRPr="00C57C8D">
        <w:rPr>
          <w:rFonts w:ascii="Arial" w:hAnsi="Arial" w:cs="Arial"/>
        </w:rPr>
        <w:br/>
      </w:r>
    </w:p>
    <w:p w14:paraId="4BCBC80A" w14:textId="77777777" w:rsidR="00CD33EE" w:rsidRDefault="00CD33EE" w:rsidP="008203B2">
      <w:pPr>
        <w:spacing w:before="100" w:beforeAutospacing="1" w:after="100" w:afterAutospacing="1" w:line="360" w:lineRule="auto"/>
        <w:rPr>
          <w:rFonts w:ascii="Arial" w:hAnsi="Arial" w:cs="Arial"/>
          <w:b/>
          <w:bCs/>
        </w:rPr>
      </w:pPr>
    </w:p>
    <w:p w14:paraId="3C44E6E0" w14:textId="77777777" w:rsidR="00CD33EE" w:rsidRDefault="00CD33EE" w:rsidP="008203B2">
      <w:pPr>
        <w:spacing w:before="100" w:beforeAutospacing="1" w:after="100" w:afterAutospacing="1" w:line="360" w:lineRule="auto"/>
        <w:rPr>
          <w:rFonts w:ascii="Arial" w:hAnsi="Arial" w:cs="Arial"/>
          <w:b/>
          <w:bCs/>
        </w:rPr>
      </w:pPr>
    </w:p>
    <w:p w14:paraId="19A845A9" w14:textId="2E397E86" w:rsidR="00EA1FF3" w:rsidRPr="008203B2" w:rsidRDefault="00A9187B" w:rsidP="008203B2">
      <w:pPr>
        <w:spacing w:before="100" w:beforeAutospacing="1" w:after="100" w:afterAutospacing="1" w:line="360" w:lineRule="auto"/>
        <w:rPr>
          <w:rFonts w:ascii="Arial" w:hAnsi="Arial" w:cs="Arial"/>
          <w:b/>
          <w:bCs/>
        </w:rPr>
      </w:pPr>
      <w:r>
        <w:rPr>
          <w:rFonts w:ascii="Arial" w:hAnsi="Arial" w:cs="Arial"/>
          <w:b/>
          <w:bCs/>
          <w:color w:val="2F5496" w:themeColor="accent1" w:themeShade="BF"/>
        </w:rPr>
        <w:lastRenderedPageBreak/>
        <w:t>5. 2025 W</w:t>
      </w:r>
      <w:r w:rsidR="00B920E4">
        <w:rPr>
          <w:rFonts w:ascii="Arial" w:hAnsi="Arial" w:cs="Arial"/>
          <w:b/>
          <w:bCs/>
          <w:color w:val="2F5496" w:themeColor="accent1" w:themeShade="BF"/>
        </w:rPr>
        <w:t>D</w:t>
      </w:r>
      <w:r>
        <w:rPr>
          <w:rFonts w:ascii="Arial" w:hAnsi="Arial" w:cs="Arial"/>
          <w:b/>
          <w:bCs/>
          <w:color w:val="2F5496" w:themeColor="accent1" w:themeShade="BF"/>
        </w:rPr>
        <w:t xml:space="preserve">ES </w:t>
      </w:r>
      <w:r w:rsidR="00EA1FF3" w:rsidRPr="00A9187B">
        <w:rPr>
          <w:rFonts w:ascii="Arial" w:hAnsi="Arial" w:cs="Arial"/>
          <w:b/>
          <w:bCs/>
          <w:color w:val="2F5496" w:themeColor="accent1" w:themeShade="BF"/>
        </w:rPr>
        <w:t xml:space="preserve">Action Plan </w:t>
      </w:r>
      <w:r>
        <w:rPr>
          <w:rFonts w:ascii="Arial" w:hAnsi="Arial" w:cs="Arial"/>
          <w:b/>
          <w:bCs/>
          <w:color w:val="2F5496" w:themeColor="accent1" w:themeShade="BF"/>
        </w:rPr>
        <w:t>to Address Areas of Focus</w:t>
      </w:r>
    </w:p>
    <w:p w14:paraId="7975A639" w14:textId="6362A381" w:rsidR="00EA1FF3" w:rsidRPr="00A9187B" w:rsidRDefault="00EA1FF3" w:rsidP="002412B6">
      <w:pPr>
        <w:spacing w:before="100" w:beforeAutospacing="1" w:after="100" w:afterAutospacing="1" w:line="360" w:lineRule="auto"/>
        <w:rPr>
          <w:rFonts w:ascii="Arial" w:eastAsia="Calibri" w:hAnsi="Arial" w:cs="Arial"/>
        </w:rPr>
      </w:pPr>
      <w:r w:rsidRPr="00C57C8D">
        <w:rPr>
          <w:rFonts w:ascii="Arial" w:hAnsi="Arial" w:cs="Arial"/>
          <w:color w:val="000000" w:themeColor="text1"/>
        </w:rPr>
        <w:t xml:space="preserve">Trust performance in 7 of the </w:t>
      </w:r>
      <w:r w:rsidR="00B920E4">
        <w:rPr>
          <w:rFonts w:ascii="Arial" w:hAnsi="Arial" w:cs="Arial"/>
          <w:color w:val="000000" w:themeColor="text1"/>
        </w:rPr>
        <w:t>10</w:t>
      </w:r>
      <w:r w:rsidRPr="00C57C8D">
        <w:rPr>
          <w:rFonts w:ascii="Arial" w:hAnsi="Arial" w:cs="Arial"/>
          <w:color w:val="000000" w:themeColor="text1"/>
        </w:rPr>
        <w:t xml:space="preserve"> indicators is better than the NHS average. </w:t>
      </w:r>
      <w:r w:rsidRPr="00C57C8D">
        <w:rPr>
          <w:rFonts w:ascii="Arial" w:hAnsi="Arial" w:cs="Arial"/>
        </w:rPr>
        <w:t xml:space="preserve">The </w:t>
      </w:r>
      <w:r w:rsidRPr="00C57C8D">
        <w:rPr>
          <w:rFonts w:ascii="Arial" w:eastAsia="Calibri" w:hAnsi="Arial" w:cs="Arial"/>
        </w:rPr>
        <w:t>Trust W</w:t>
      </w:r>
      <w:r w:rsidR="00B920E4">
        <w:rPr>
          <w:rFonts w:ascii="Arial" w:eastAsia="Calibri" w:hAnsi="Arial" w:cs="Arial"/>
        </w:rPr>
        <w:t>D</w:t>
      </w:r>
      <w:r w:rsidRPr="00C57C8D">
        <w:rPr>
          <w:rFonts w:ascii="Arial" w:eastAsia="Calibri" w:hAnsi="Arial" w:cs="Arial"/>
        </w:rPr>
        <w:t>ES action plan for 202</w:t>
      </w:r>
      <w:r w:rsidR="009E3F30" w:rsidRPr="00C57C8D">
        <w:rPr>
          <w:rFonts w:ascii="Arial" w:eastAsia="Calibri" w:hAnsi="Arial" w:cs="Arial"/>
        </w:rPr>
        <w:t>5</w:t>
      </w:r>
      <w:r w:rsidRPr="00C57C8D">
        <w:rPr>
          <w:rFonts w:ascii="Arial" w:eastAsia="Calibri" w:hAnsi="Arial" w:cs="Arial"/>
        </w:rPr>
        <w:t>/2</w:t>
      </w:r>
      <w:r w:rsidR="009E3F30" w:rsidRPr="00C57C8D">
        <w:rPr>
          <w:rFonts w:ascii="Arial" w:eastAsia="Calibri" w:hAnsi="Arial" w:cs="Arial"/>
        </w:rPr>
        <w:t>6</w:t>
      </w:r>
      <w:r w:rsidRPr="00C57C8D">
        <w:rPr>
          <w:rFonts w:ascii="Arial" w:eastAsia="Calibri" w:hAnsi="Arial" w:cs="Arial"/>
        </w:rPr>
        <w:t xml:space="preserve"> below represents our priorities based </w:t>
      </w:r>
      <w:r w:rsidR="009E3F30" w:rsidRPr="00C57C8D">
        <w:rPr>
          <w:rFonts w:ascii="Arial" w:eastAsia="Calibri" w:hAnsi="Arial" w:cs="Arial"/>
        </w:rPr>
        <w:t>on</w:t>
      </w:r>
      <w:r w:rsidRPr="00C57C8D">
        <w:rPr>
          <w:rFonts w:ascii="Arial" w:eastAsia="Calibri" w:hAnsi="Arial" w:cs="Arial"/>
        </w:rPr>
        <w:t xml:space="preserve"> the data.</w:t>
      </w:r>
    </w:p>
    <w:tbl>
      <w:tblPr>
        <w:tblStyle w:val="TableGrid"/>
        <w:tblW w:w="0" w:type="auto"/>
        <w:tblLook w:val="04A0" w:firstRow="1" w:lastRow="0" w:firstColumn="1" w:lastColumn="0" w:noHBand="0" w:noVBand="1"/>
      </w:tblPr>
      <w:tblGrid>
        <w:gridCol w:w="461"/>
        <w:gridCol w:w="8323"/>
      </w:tblGrid>
      <w:tr w:rsidR="00EA1FF3" w:rsidRPr="00C57C8D" w14:paraId="02C91793" w14:textId="77777777" w:rsidTr="00556E41">
        <w:tc>
          <w:tcPr>
            <w:tcW w:w="461" w:type="dxa"/>
            <w:shd w:val="clear" w:color="auto" w:fill="D9D9D9" w:themeFill="background1" w:themeFillShade="D9"/>
          </w:tcPr>
          <w:p w14:paraId="3176C534" w14:textId="77777777" w:rsidR="00EA1FF3" w:rsidRPr="00C57C8D" w:rsidRDefault="00EA1FF3" w:rsidP="002412B6">
            <w:pPr>
              <w:spacing w:before="100" w:beforeAutospacing="1" w:after="100" w:afterAutospacing="1" w:line="360" w:lineRule="auto"/>
              <w:rPr>
                <w:rFonts w:ascii="Arial" w:eastAsia="Calibri" w:hAnsi="Arial" w:cs="Arial"/>
                <w:b/>
              </w:rPr>
            </w:pPr>
            <w:r w:rsidRPr="00C57C8D">
              <w:rPr>
                <w:rFonts w:ascii="Arial" w:eastAsia="Calibri" w:hAnsi="Arial" w:cs="Arial"/>
                <w:b/>
              </w:rPr>
              <w:t>N</w:t>
            </w:r>
            <w:r w:rsidRPr="00C57C8D">
              <w:rPr>
                <w:rFonts w:ascii="Arial" w:eastAsia="Calibri" w:hAnsi="Arial" w:cs="Arial"/>
                <w:b/>
                <w:vertAlign w:val="superscript"/>
              </w:rPr>
              <w:t>o</w:t>
            </w:r>
          </w:p>
        </w:tc>
        <w:tc>
          <w:tcPr>
            <w:tcW w:w="8323" w:type="dxa"/>
            <w:shd w:val="clear" w:color="auto" w:fill="D9D9D9" w:themeFill="background1" w:themeFillShade="D9"/>
          </w:tcPr>
          <w:p w14:paraId="34783655" w14:textId="468E0783" w:rsidR="00EA1FF3" w:rsidRPr="00C57C8D" w:rsidRDefault="00EA1FF3" w:rsidP="002412B6">
            <w:pPr>
              <w:spacing w:before="100" w:beforeAutospacing="1" w:after="100" w:afterAutospacing="1" w:line="360" w:lineRule="auto"/>
              <w:rPr>
                <w:rFonts w:ascii="Arial" w:eastAsia="Calibri" w:hAnsi="Arial" w:cs="Arial"/>
                <w:b/>
              </w:rPr>
            </w:pPr>
            <w:r w:rsidRPr="00C57C8D">
              <w:rPr>
                <w:rFonts w:ascii="Arial" w:hAnsi="Arial" w:cs="Arial"/>
                <w:b/>
                <w:bCs/>
              </w:rPr>
              <w:t>202</w:t>
            </w:r>
            <w:r w:rsidR="009E3F30" w:rsidRPr="00C57C8D">
              <w:rPr>
                <w:rFonts w:ascii="Arial" w:hAnsi="Arial" w:cs="Arial"/>
                <w:b/>
                <w:bCs/>
              </w:rPr>
              <w:t>5</w:t>
            </w:r>
            <w:r w:rsidRPr="00C57C8D">
              <w:rPr>
                <w:rFonts w:ascii="Arial" w:hAnsi="Arial" w:cs="Arial"/>
                <w:b/>
                <w:bCs/>
              </w:rPr>
              <w:t>/2</w:t>
            </w:r>
            <w:r w:rsidR="009E3F30" w:rsidRPr="00C57C8D">
              <w:rPr>
                <w:rFonts w:ascii="Arial" w:hAnsi="Arial" w:cs="Arial"/>
                <w:b/>
                <w:bCs/>
              </w:rPr>
              <w:t xml:space="preserve">6 </w:t>
            </w:r>
            <w:r w:rsidRPr="00C57C8D">
              <w:rPr>
                <w:rFonts w:ascii="Arial" w:hAnsi="Arial" w:cs="Arial"/>
                <w:b/>
                <w:bCs/>
              </w:rPr>
              <w:t>Objective</w:t>
            </w:r>
          </w:p>
        </w:tc>
      </w:tr>
      <w:tr w:rsidR="00EA1FF3" w:rsidRPr="00C57C8D" w14:paraId="25FD3B66" w14:textId="77777777" w:rsidTr="00556E41">
        <w:tc>
          <w:tcPr>
            <w:tcW w:w="461" w:type="dxa"/>
          </w:tcPr>
          <w:p w14:paraId="779A1AD2" w14:textId="77777777" w:rsidR="00EA1FF3" w:rsidRPr="00C57C8D" w:rsidRDefault="00EA1FF3" w:rsidP="002412B6">
            <w:pPr>
              <w:spacing w:before="100" w:beforeAutospacing="1" w:after="100" w:afterAutospacing="1" w:line="360" w:lineRule="auto"/>
              <w:contextualSpacing/>
              <w:rPr>
                <w:rFonts w:ascii="Arial" w:eastAsia="Calibri" w:hAnsi="Arial" w:cs="Arial"/>
                <w:bCs/>
              </w:rPr>
            </w:pPr>
            <w:r w:rsidRPr="00C57C8D">
              <w:rPr>
                <w:rFonts w:ascii="Arial" w:eastAsia="Calibri" w:hAnsi="Arial" w:cs="Arial"/>
                <w:bCs/>
              </w:rPr>
              <w:t>1</w:t>
            </w:r>
          </w:p>
        </w:tc>
        <w:tc>
          <w:tcPr>
            <w:tcW w:w="8323" w:type="dxa"/>
          </w:tcPr>
          <w:p w14:paraId="6E03E1E0" w14:textId="36278889" w:rsidR="00EA1FF3" w:rsidRPr="00C57C8D" w:rsidRDefault="00EA1FF3" w:rsidP="002412B6">
            <w:pPr>
              <w:spacing w:before="100" w:beforeAutospacing="1" w:after="100" w:afterAutospacing="1" w:line="360" w:lineRule="auto"/>
              <w:rPr>
                <w:rFonts w:ascii="Arial" w:hAnsi="Arial" w:cs="Arial"/>
                <w:bCs/>
              </w:rPr>
            </w:pPr>
            <w:r w:rsidRPr="00C57C8D">
              <w:rPr>
                <w:rFonts w:ascii="Arial" w:hAnsi="Arial" w:cs="Arial"/>
                <w:bCs/>
              </w:rPr>
              <w:t xml:space="preserve">Fulfil the requirements of the NHSE EDI Improvement plan and support the board to realise </w:t>
            </w:r>
            <w:r w:rsidR="00B920E4">
              <w:rPr>
                <w:rFonts w:ascii="Arial" w:hAnsi="Arial" w:cs="Arial"/>
                <w:bCs/>
              </w:rPr>
              <w:t>high-impact</w:t>
            </w:r>
            <w:r w:rsidRPr="00C57C8D">
              <w:rPr>
                <w:rFonts w:ascii="Arial" w:hAnsi="Arial" w:cs="Arial"/>
                <w:bCs/>
              </w:rPr>
              <w:t xml:space="preserve"> action 1</w:t>
            </w:r>
            <w:r w:rsidRPr="00C57C8D">
              <w:rPr>
                <w:rFonts w:ascii="Arial" w:hAnsi="Arial" w:cs="Arial"/>
                <w:color w:val="202A30"/>
                <w:shd w:val="clear" w:color="auto" w:fill="FFFFFF"/>
              </w:rPr>
              <w:t xml:space="preserve">. ​ </w:t>
            </w:r>
          </w:p>
        </w:tc>
      </w:tr>
      <w:tr w:rsidR="00EA1FF3" w:rsidRPr="00C57C8D" w14:paraId="4F759A9F" w14:textId="77777777" w:rsidTr="00556E41">
        <w:tc>
          <w:tcPr>
            <w:tcW w:w="461" w:type="dxa"/>
          </w:tcPr>
          <w:p w14:paraId="7EDC769E" w14:textId="77777777" w:rsidR="00EA1FF3" w:rsidRPr="00C57C8D" w:rsidRDefault="00EA1FF3" w:rsidP="002412B6">
            <w:pPr>
              <w:spacing w:before="100" w:beforeAutospacing="1" w:after="100" w:afterAutospacing="1" w:line="360" w:lineRule="auto"/>
              <w:rPr>
                <w:rFonts w:ascii="Arial" w:hAnsi="Arial" w:cs="Arial"/>
                <w:bCs/>
              </w:rPr>
            </w:pPr>
            <w:r w:rsidRPr="00C57C8D">
              <w:rPr>
                <w:rFonts w:ascii="Arial" w:hAnsi="Arial" w:cs="Arial"/>
                <w:bCs/>
              </w:rPr>
              <w:t>2</w:t>
            </w:r>
          </w:p>
        </w:tc>
        <w:tc>
          <w:tcPr>
            <w:tcW w:w="8323" w:type="dxa"/>
          </w:tcPr>
          <w:p w14:paraId="6ABF7EF0" w14:textId="446FC0E6" w:rsidR="00EA1FF3" w:rsidRPr="00C57C8D" w:rsidRDefault="001053D8" w:rsidP="002412B6">
            <w:pPr>
              <w:spacing w:before="100" w:beforeAutospacing="1" w:after="100" w:afterAutospacing="1" w:line="360" w:lineRule="auto"/>
              <w:rPr>
                <w:rFonts w:ascii="Arial" w:hAnsi="Arial" w:cs="Arial"/>
                <w:bCs/>
              </w:rPr>
            </w:pPr>
            <w:r w:rsidRPr="00C57C8D">
              <w:rPr>
                <w:rFonts w:ascii="Arial" w:hAnsi="Arial" w:cs="Arial"/>
                <w:bCs/>
              </w:rPr>
              <w:t xml:space="preserve">EDI </w:t>
            </w:r>
            <w:proofErr w:type="gramStart"/>
            <w:r w:rsidR="00D30EB3">
              <w:rPr>
                <w:rFonts w:ascii="Arial" w:hAnsi="Arial" w:cs="Arial"/>
                <w:bCs/>
              </w:rPr>
              <w:t>L</w:t>
            </w:r>
            <w:r w:rsidRPr="00C57C8D">
              <w:rPr>
                <w:rFonts w:ascii="Arial" w:hAnsi="Arial" w:cs="Arial"/>
                <w:bCs/>
              </w:rPr>
              <w:t>ead</w:t>
            </w:r>
            <w:proofErr w:type="gramEnd"/>
            <w:r w:rsidRPr="00C57C8D">
              <w:rPr>
                <w:rFonts w:ascii="Arial" w:hAnsi="Arial" w:cs="Arial"/>
                <w:bCs/>
              </w:rPr>
              <w:t xml:space="preserve"> to work with the Culture &amp; Workforce Project Lead, </w:t>
            </w:r>
            <w:r w:rsidRPr="001053D8">
              <w:rPr>
                <w:rFonts w:ascii="Arial" w:hAnsi="Arial" w:cs="Arial"/>
                <w:bCs/>
              </w:rPr>
              <w:t>Mental Health, Learning Disabilities and Autism Sector Collaborative</w:t>
            </w:r>
            <w:r w:rsidRPr="00C57C8D">
              <w:rPr>
                <w:rFonts w:ascii="Arial" w:hAnsi="Arial" w:cs="Arial"/>
                <w:bCs/>
              </w:rPr>
              <w:t xml:space="preserve"> on the development of a system</w:t>
            </w:r>
            <w:r w:rsidR="00F01D53" w:rsidRPr="00C57C8D">
              <w:rPr>
                <w:rFonts w:ascii="Arial" w:hAnsi="Arial" w:cs="Arial"/>
                <w:bCs/>
              </w:rPr>
              <w:t xml:space="preserve">wide </w:t>
            </w:r>
            <w:r w:rsidR="00AB7BA9" w:rsidRPr="00C57C8D">
              <w:rPr>
                <w:rFonts w:ascii="Arial" w:hAnsi="Arial" w:cs="Arial"/>
                <w:bCs/>
              </w:rPr>
              <w:t>Humber and North Yorkshire Reciprocal Mentoring Pilot programme</w:t>
            </w:r>
          </w:p>
        </w:tc>
      </w:tr>
      <w:tr w:rsidR="00EA1FF3" w:rsidRPr="00C57C8D" w14:paraId="2E8AB08C" w14:textId="77777777" w:rsidTr="00556E41">
        <w:tc>
          <w:tcPr>
            <w:tcW w:w="461" w:type="dxa"/>
          </w:tcPr>
          <w:p w14:paraId="6DB9B301" w14:textId="77777777" w:rsidR="00EA1FF3" w:rsidRPr="00C57C8D" w:rsidRDefault="00EA1FF3" w:rsidP="002412B6">
            <w:pPr>
              <w:spacing w:before="100" w:beforeAutospacing="1" w:after="100" w:afterAutospacing="1" w:line="360" w:lineRule="auto"/>
              <w:contextualSpacing/>
              <w:rPr>
                <w:rFonts w:ascii="Arial" w:eastAsia="Calibri" w:hAnsi="Arial" w:cs="Arial"/>
                <w:bCs/>
              </w:rPr>
            </w:pPr>
            <w:r w:rsidRPr="00C57C8D">
              <w:rPr>
                <w:rFonts w:ascii="Arial" w:eastAsia="Calibri" w:hAnsi="Arial" w:cs="Arial"/>
                <w:bCs/>
              </w:rPr>
              <w:t>3</w:t>
            </w:r>
          </w:p>
        </w:tc>
        <w:tc>
          <w:tcPr>
            <w:tcW w:w="8323" w:type="dxa"/>
          </w:tcPr>
          <w:p w14:paraId="08152720" w14:textId="0AA7397E" w:rsidR="00EA1FF3" w:rsidRPr="00C57C8D" w:rsidRDefault="00EA1FF3" w:rsidP="002412B6">
            <w:pPr>
              <w:spacing w:before="100" w:beforeAutospacing="1" w:after="100" w:afterAutospacing="1" w:line="360" w:lineRule="auto"/>
              <w:rPr>
                <w:rFonts w:ascii="Arial" w:eastAsia="Calibri" w:hAnsi="Arial" w:cs="Arial"/>
                <w:bCs/>
              </w:rPr>
            </w:pPr>
            <w:r w:rsidRPr="00C57C8D">
              <w:rPr>
                <w:rFonts w:ascii="Arial" w:hAnsi="Arial" w:cs="Arial"/>
                <w:bCs/>
              </w:rPr>
              <w:t xml:space="preserve">Following the success of the Respect campaign, </w:t>
            </w:r>
            <w:r w:rsidR="00886D62" w:rsidRPr="00C57C8D">
              <w:rPr>
                <w:rFonts w:ascii="Arial" w:hAnsi="Arial" w:cs="Arial"/>
                <w:bCs/>
              </w:rPr>
              <w:t>relaunch the</w:t>
            </w:r>
            <w:r w:rsidRPr="00C57C8D">
              <w:rPr>
                <w:rFonts w:ascii="Arial" w:hAnsi="Arial" w:cs="Arial"/>
                <w:bCs/>
              </w:rPr>
              <w:t xml:space="preserve"> Respect framework</w:t>
            </w:r>
            <w:r w:rsidR="00E6360A" w:rsidRPr="00C57C8D">
              <w:rPr>
                <w:rFonts w:ascii="Arial" w:hAnsi="Arial" w:cs="Arial"/>
                <w:bCs/>
              </w:rPr>
              <w:t xml:space="preserve"> with new resources, including training </w:t>
            </w:r>
            <w:r w:rsidR="00D75269" w:rsidRPr="00C57C8D">
              <w:rPr>
                <w:rFonts w:ascii="Arial" w:hAnsi="Arial" w:cs="Arial"/>
                <w:bCs/>
              </w:rPr>
              <w:t xml:space="preserve">video </w:t>
            </w:r>
            <w:r w:rsidR="00E6360A" w:rsidRPr="00C57C8D">
              <w:rPr>
                <w:rFonts w:ascii="Arial" w:hAnsi="Arial" w:cs="Arial"/>
                <w:bCs/>
              </w:rPr>
              <w:t xml:space="preserve">and </w:t>
            </w:r>
            <w:r w:rsidR="00D75269" w:rsidRPr="00C57C8D">
              <w:rPr>
                <w:rFonts w:ascii="Arial" w:hAnsi="Arial" w:cs="Arial"/>
                <w:bCs/>
              </w:rPr>
              <w:t>posters</w:t>
            </w:r>
            <w:r w:rsidR="00E6360A" w:rsidRPr="00C57C8D">
              <w:rPr>
                <w:rFonts w:ascii="Arial" w:hAnsi="Arial" w:cs="Arial"/>
                <w:bCs/>
              </w:rPr>
              <w:t xml:space="preserve">, </w:t>
            </w:r>
            <w:r w:rsidR="00886D62" w:rsidRPr="00C57C8D">
              <w:rPr>
                <w:rFonts w:ascii="Arial" w:hAnsi="Arial" w:cs="Arial"/>
                <w:bCs/>
              </w:rPr>
              <w:t>raising the profile for the ambitions of the work and further driving</w:t>
            </w:r>
            <w:r w:rsidRPr="00C57C8D">
              <w:rPr>
                <w:rFonts w:ascii="Arial" w:hAnsi="Arial" w:cs="Arial"/>
                <w:bCs/>
              </w:rPr>
              <w:t xml:space="preserve"> up a safe reporting culture.</w:t>
            </w:r>
          </w:p>
        </w:tc>
      </w:tr>
      <w:tr w:rsidR="00EA1FF3" w:rsidRPr="00C57C8D" w14:paraId="1AD7CF8C" w14:textId="77777777" w:rsidTr="00556E41">
        <w:tc>
          <w:tcPr>
            <w:tcW w:w="461" w:type="dxa"/>
          </w:tcPr>
          <w:p w14:paraId="19A3ADFF" w14:textId="77777777" w:rsidR="00EA1FF3" w:rsidRPr="00C57C8D" w:rsidRDefault="00EA1FF3"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4</w:t>
            </w:r>
          </w:p>
        </w:tc>
        <w:tc>
          <w:tcPr>
            <w:tcW w:w="8323" w:type="dxa"/>
          </w:tcPr>
          <w:p w14:paraId="3756DFE3" w14:textId="39136E8F" w:rsidR="007F3194" w:rsidRPr="00C57C8D" w:rsidRDefault="007F3194" w:rsidP="002412B6">
            <w:pPr>
              <w:spacing w:before="100" w:beforeAutospacing="1" w:after="100" w:afterAutospacing="1" w:line="360" w:lineRule="auto"/>
              <w:rPr>
                <w:rFonts w:ascii="Arial" w:hAnsi="Arial" w:cs="Arial"/>
              </w:rPr>
            </w:pPr>
            <w:r w:rsidRPr="00C57C8D">
              <w:rPr>
                <w:rFonts w:ascii="Arial" w:hAnsi="Arial" w:cs="Arial"/>
                <w:bCs/>
              </w:rPr>
              <w:t xml:space="preserve">Build on </w:t>
            </w:r>
            <w:r w:rsidR="00EA4A30" w:rsidRPr="00C57C8D">
              <w:rPr>
                <w:rFonts w:ascii="Arial" w:hAnsi="Arial" w:cs="Arial"/>
                <w:bCs/>
              </w:rPr>
              <w:t>the No Excuse for Abuse toolkit's success</w:t>
            </w:r>
            <w:r w:rsidR="001F6790" w:rsidRPr="00C57C8D">
              <w:rPr>
                <w:rFonts w:ascii="Arial" w:hAnsi="Arial" w:cs="Arial"/>
                <w:bCs/>
              </w:rPr>
              <w:t xml:space="preserve"> by </w:t>
            </w:r>
            <w:r w:rsidR="000B1B83" w:rsidRPr="00C57C8D">
              <w:rPr>
                <w:rFonts w:ascii="Arial" w:hAnsi="Arial" w:cs="Arial"/>
                <w:bCs/>
              </w:rPr>
              <w:t xml:space="preserve">better understanding the Datix data to </w:t>
            </w:r>
            <w:r w:rsidR="00D967A7" w:rsidRPr="00C57C8D">
              <w:rPr>
                <w:rFonts w:ascii="Arial" w:hAnsi="Arial" w:cs="Arial"/>
                <w:bCs/>
              </w:rPr>
              <w:t xml:space="preserve">provide benchmarking data, </w:t>
            </w:r>
            <w:r w:rsidR="000B1B83" w:rsidRPr="00C57C8D">
              <w:rPr>
                <w:rFonts w:ascii="Arial" w:hAnsi="Arial" w:cs="Arial"/>
                <w:bCs/>
              </w:rPr>
              <w:t xml:space="preserve">determine which areas have a higher prevalence of </w:t>
            </w:r>
            <w:r w:rsidR="00250B0D" w:rsidRPr="00C57C8D">
              <w:rPr>
                <w:rFonts w:ascii="Arial" w:hAnsi="Arial" w:cs="Arial"/>
                <w:bCs/>
              </w:rPr>
              <w:t>related</w:t>
            </w:r>
            <w:r w:rsidR="000B1B83" w:rsidRPr="00C57C8D">
              <w:rPr>
                <w:rFonts w:ascii="Arial" w:hAnsi="Arial" w:cs="Arial"/>
                <w:bCs/>
              </w:rPr>
              <w:t xml:space="preserve"> incidents and drive </w:t>
            </w:r>
            <w:r w:rsidR="001F6790" w:rsidRPr="00C57C8D">
              <w:rPr>
                <w:rFonts w:ascii="Arial" w:hAnsi="Arial" w:cs="Arial"/>
              </w:rPr>
              <w:t xml:space="preserve">work </w:t>
            </w:r>
            <w:r w:rsidR="000B1B83" w:rsidRPr="00C57C8D">
              <w:rPr>
                <w:rFonts w:ascii="Arial" w:hAnsi="Arial" w:cs="Arial"/>
              </w:rPr>
              <w:t>that</w:t>
            </w:r>
            <w:r w:rsidR="001F6790" w:rsidRPr="00C57C8D">
              <w:rPr>
                <w:rFonts w:ascii="Arial" w:hAnsi="Arial" w:cs="Arial"/>
              </w:rPr>
              <w:t xml:space="preserve"> provide</w:t>
            </w:r>
            <w:r w:rsidR="000B1B83" w:rsidRPr="00C57C8D">
              <w:rPr>
                <w:rFonts w:ascii="Arial" w:hAnsi="Arial" w:cs="Arial"/>
              </w:rPr>
              <w:t>s</w:t>
            </w:r>
            <w:r w:rsidR="001F6790" w:rsidRPr="00C57C8D">
              <w:rPr>
                <w:rFonts w:ascii="Arial" w:hAnsi="Arial" w:cs="Arial"/>
              </w:rPr>
              <w:t xml:space="preserve"> bespoke support for those areas.</w:t>
            </w:r>
          </w:p>
        </w:tc>
      </w:tr>
      <w:tr w:rsidR="00EA1FF3" w:rsidRPr="00C57C8D" w14:paraId="520D5211" w14:textId="77777777" w:rsidTr="00556E41">
        <w:tc>
          <w:tcPr>
            <w:tcW w:w="461" w:type="dxa"/>
          </w:tcPr>
          <w:p w14:paraId="6441FDA8" w14:textId="77777777" w:rsidR="00EA1FF3" w:rsidRPr="00C57C8D" w:rsidRDefault="00EA1FF3"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5</w:t>
            </w:r>
          </w:p>
        </w:tc>
        <w:tc>
          <w:tcPr>
            <w:tcW w:w="8323" w:type="dxa"/>
          </w:tcPr>
          <w:p w14:paraId="52AD0107" w14:textId="231D0557" w:rsidR="00EA1FF3" w:rsidRPr="00C57C8D" w:rsidRDefault="00A22F20" w:rsidP="002412B6">
            <w:pPr>
              <w:spacing w:before="100" w:beforeAutospacing="1" w:after="100" w:afterAutospacing="1" w:line="360" w:lineRule="auto"/>
              <w:rPr>
                <w:rFonts w:ascii="Arial" w:hAnsi="Arial" w:cs="Arial"/>
              </w:rPr>
            </w:pPr>
            <w:r w:rsidRPr="00C57C8D">
              <w:rPr>
                <w:rFonts w:ascii="Arial" w:hAnsi="Arial" w:cs="Arial"/>
                <w:bCs/>
              </w:rPr>
              <w:t>Recognise that the No Excuse for Abuse toolkit i</w:t>
            </w:r>
            <w:r w:rsidR="00D967A7" w:rsidRPr="00C57C8D">
              <w:rPr>
                <w:rFonts w:ascii="Arial" w:hAnsi="Arial" w:cs="Arial"/>
                <w:bCs/>
              </w:rPr>
              <w:t>s</w:t>
            </w:r>
            <w:r w:rsidR="00D967A7" w:rsidRPr="00C57C8D">
              <w:rPr>
                <w:rFonts w:ascii="Arial" w:hAnsi="Arial" w:cs="Arial"/>
              </w:rPr>
              <w:t xml:space="preserve"> focused on post-incident support for staff and</w:t>
            </w:r>
            <w:r w:rsidR="00250B0D" w:rsidRPr="00C57C8D">
              <w:rPr>
                <w:rFonts w:ascii="Arial" w:hAnsi="Arial" w:cs="Arial"/>
              </w:rPr>
              <w:t>,</w:t>
            </w:r>
            <w:r w:rsidR="00D967A7" w:rsidRPr="00C57C8D">
              <w:rPr>
                <w:rFonts w:ascii="Arial" w:hAnsi="Arial" w:cs="Arial"/>
              </w:rPr>
              <w:t xml:space="preserve"> in collaboration with stakeholders, </w:t>
            </w:r>
            <w:r w:rsidR="00250B0D" w:rsidRPr="00C57C8D">
              <w:rPr>
                <w:rFonts w:ascii="Arial" w:hAnsi="Arial" w:cs="Arial"/>
              </w:rPr>
              <w:t>develop methods</w:t>
            </w:r>
            <w:r w:rsidR="00D967A7" w:rsidRPr="00C57C8D">
              <w:rPr>
                <w:rFonts w:ascii="Arial" w:hAnsi="Arial" w:cs="Arial"/>
              </w:rPr>
              <w:t xml:space="preserve"> to equip ward managers to be more proactive whe</w:t>
            </w:r>
            <w:r w:rsidR="00250B0D" w:rsidRPr="00C57C8D">
              <w:rPr>
                <w:rFonts w:ascii="Arial" w:hAnsi="Arial" w:cs="Arial"/>
              </w:rPr>
              <w:t>re</w:t>
            </w:r>
            <w:r w:rsidR="00D967A7" w:rsidRPr="00C57C8D">
              <w:rPr>
                <w:rFonts w:ascii="Arial" w:hAnsi="Arial" w:cs="Arial"/>
              </w:rPr>
              <w:t xml:space="preserve"> they know there is a prevalence of abuse towards staff. </w:t>
            </w:r>
          </w:p>
        </w:tc>
      </w:tr>
      <w:tr w:rsidR="00BB09A6" w:rsidRPr="00C57C8D" w14:paraId="526560AC" w14:textId="77777777" w:rsidTr="00556E41">
        <w:tc>
          <w:tcPr>
            <w:tcW w:w="461" w:type="dxa"/>
          </w:tcPr>
          <w:p w14:paraId="5ECEA727" w14:textId="5FDFA7AD" w:rsidR="00BB09A6" w:rsidRPr="00C57C8D" w:rsidRDefault="00B920E4" w:rsidP="002412B6">
            <w:pPr>
              <w:spacing w:before="100" w:beforeAutospacing="1" w:after="100" w:afterAutospacing="1" w:line="360" w:lineRule="auto"/>
              <w:rPr>
                <w:rFonts w:ascii="Arial" w:hAnsi="Arial" w:cs="Arial"/>
              </w:rPr>
            </w:pPr>
            <w:r>
              <w:rPr>
                <w:rFonts w:ascii="Arial" w:hAnsi="Arial" w:cs="Arial"/>
              </w:rPr>
              <w:t>6</w:t>
            </w:r>
          </w:p>
        </w:tc>
        <w:tc>
          <w:tcPr>
            <w:tcW w:w="8323" w:type="dxa"/>
          </w:tcPr>
          <w:p w14:paraId="38EF60E7" w14:textId="7732AE48" w:rsidR="00BB09A6" w:rsidRPr="00C57C8D" w:rsidRDefault="00BB09A6" w:rsidP="002412B6">
            <w:pPr>
              <w:spacing w:before="100" w:beforeAutospacing="1" w:after="100" w:afterAutospacing="1" w:line="360" w:lineRule="auto"/>
              <w:rPr>
                <w:rFonts w:ascii="Arial" w:hAnsi="Arial" w:cs="Arial"/>
                <w:bCs/>
              </w:rPr>
            </w:pPr>
            <w:r w:rsidRPr="00C57C8D">
              <w:rPr>
                <w:rFonts w:ascii="Arial" w:hAnsi="Arial" w:cs="Arial"/>
                <w:bCs/>
              </w:rPr>
              <w:t xml:space="preserve">EDI </w:t>
            </w:r>
            <w:proofErr w:type="gramStart"/>
            <w:r w:rsidRPr="00C57C8D">
              <w:rPr>
                <w:rFonts w:ascii="Arial" w:hAnsi="Arial" w:cs="Arial"/>
                <w:bCs/>
              </w:rPr>
              <w:t>Lead</w:t>
            </w:r>
            <w:proofErr w:type="gramEnd"/>
            <w:r w:rsidRPr="00C57C8D">
              <w:rPr>
                <w:rFonts w:ascii="Arial" w:hAnsi="Arial" w:cs="Arial"/>
                <w:bCs/>
              </w:rPr>
              <w:t xml:space="preserve"> to </w:t>
            </w:r>
            <w:r w:rsidR="00A70594" w:rsidRPr="00C57C8D">
              <w:rPr>
                <w:rFonts w:ascii="Arial" w:hAnsi="Arial" w:cs="Arial"/>
                <w:bCs/>
              </w:rPr>
              <w:t>represent workforce EDI</w:t>
            </w:r>
            <w:r w:rsidR="00715C66" w:rsidRPr="00C57C8D">
              <w:rPr>
                <w:rFonts w:ascii="Arial" w:hAnsi="Arial" w:cs="Arial"/>
                <w:bCs/>
              </w:rPr>
              <w:t xml:space="preserve"> at</w:t>
            </w:r>
            <w:r w:rsidRPr="00C57C8D">
              <w:rPr>
                <w:rFonts w:ascii="Arial" w:hAnsi="Arial" w:cs="Arial"/>
                <w:bCs/>
              </w:rPr>
              <w:t xml:space="preserve"> </w:t>
            </w:r>
            <w:r w:rsidR="00A70594" w:rsidRPr="00C57C8D">
              <w:rPr>
                <w:rFonts w:ascii="Arial" w:hAnsi="Arial" w:cs="Arial"/>
                <w:bCs/>
              </w:rPr>
              <w:t xml:space="preserve">the </w:t>
            </w:r>
            <w:r w:rsidR="00D20EA9" w:rsidRPr="00C57C8D">
              <w:rPr>
                <w:rFonts w:ascii="Arial" w:hAnsi="Arial" w:cs="Arial"/>
                <w:bCs/>
              </w:rPr>
              <w:t xml:space="preserve">newly formed </w:t>
            </w:r>
            <w:r w:rsidRPr="00C57C8D">
              <w:rPr>
                <w:rFonts w:ascii="Arial" w:hAnsi="Arial" w:cs="Arial"/>
                <w:bCs/>
              </w:rPr>
              <w:t xml:space="preserve">Care, </w:t>
            </w:r>
            <w:r w:rsidR="00A70594" w:rsidRPr="00C57C8D">
              <w:rPr>
                <w:rFonts w:ascii="Arial" w:hAnsi="Arial" w:cs="Arial"/>
                <w:bCs/>
              </w:rPr>
              <w:t>Culture</w:t>
            </w:r>
            <w:r w:rsidRPr="00C57C8D">
              <w:rPr>
                <w:rFonts w:ascii="Arial" w:hAnsi="Arial" w:cs="Arial"/>
                <w:bCs/>
              </w:rPr>
              <w:t xml:space="preserve"> and Equity Steering </w:t>
            </w:r>
            <w:r w:rsidR="00715C66" w:rsidRPr="00C57C8D">
              <w:rPr>
                <w:rFonts w:ascii="Arial" w:hAnsi="Arial" w:cs="Arial"/>
                <w:bCs/>
              </w:rPr>
              <w:t>G</w:t>
            </w:r>
            <w:r w:rsidRPr="00C57C8D">
              <w:rPr>
                <w:rFonts w:ascii="Arial" w:hAnsi="Arial" w:cs="Arial"/>
                <w:bCs/>
              </w:rPr>
              <w:t xml:space="preserve">roup, </w:t>
            </w:r>
            <w:r w:rsidR="00D20EA9" w:rsidRPr="00C57C8D">
              <w:rPr>
                <w:rFonts w:ascii="Arial" w:hAnsi="Arial" w:cs="Arial"/>
                <w:bCs/>
              </w:rPr>
              <w:t>a</w:t>
            </w:r>
            <w:r w:rsidRPr="00C57C8D">
              <w:rPr>
                <w:rFonts w:ascii="Arial" w:hAnsi="Arial" w:cs="Arial"/>
                <w:bCs/>
              </w:rPr>
              <w:t xml:space="preserve"> </w:t>
            </w:r>
            <w:r w:rsidR="00D20EA9" w:rsidRPr="00C57C8D">
              <w:rPr>
                <w:rFonts w:ascii="Arial" w:hAnsi="Arial" w:cs="Arial"/>
                <w:bCs/>
              </w:rPr>
              <w:t>collaborative</w:t>
            </w:r>
            <w:r w:rsidRPr="00C57C8D">
              <w:rPr>
                <w:rFonts w:ascii="Arial" w:hAnsi="Arial" w:cs="Arial"/>
                <w:bCs/>
              </w:rPr>
              <w:t xml:space="preserve"> </w:t>
            </w:r>
            <w:r w:rsidR="00A70594" w:rsidRPr="00C57C8D">
              <w:rPr>
                <w:rFonts w:ascii="Arial" w:hAnsi="Arial" w:cs="Arial"/>
                <w:bCs/>
              </w:rPr>
              <w:t xml:space="preserve">group bringing together the work of Culture of Care, </w:t>
            </w:r>
            <w:r w:rsidR="00715C66" w:rsidRPr="00C57C8D">
              <w:rPr>
                <w:rFonts w:ascii="Arial" w:hAnsi="Arial" w:cs="Arial"/>
                <w:bCs/>
              </w:rPr>
              <w:t>T</w:t>
            </w:r>
            <w:r w:rsidR="00A70594" w:rsidRPr="00C57C8D">
              <w:rPr>
                <w:rFonts w:ascii="Arial" w:hAnsi="Arial" w:cs="Arial"/>
                <w:bCs/>
              </w:rPr>
              <w:t>rauma</w:t>
            </w:r>
            <w:r w:rsidR="00715C66" w:rsidRPr="00C57C8D">
              <w:rPr>
                <w:rFonts w:ascii="Arial" w:hAnsi="Arial" w:cs="Arial"/>
                <w:bCs/>
              </w:rPr>
              <w:t xml:space="preserve"> Informed Care</w:t>
            </w:r>
            <w:r w:rsidR="00A70594" w:rsidRPr="00C57C8D">
              <w:rPr>
                <w:rFonts w:ascii="Arial" w:hAnsi="Arial" w:cs="Arial"/>
                <w:bCs/>
              </w:rPr>
              <w:t>, P</w:t>
            </w:r>
            <w:r w:rsidR="00715C66" w:rsidRPr="00C57C8D">
              <w:rPr>
                <w:rFonts w:ascii="Arial" w:hAnsi="Arial" w:cs="Arial"/>
                <w:bCs/>
              </w:rPr>
              <w:t xml:space="preserve">atient and </w:t>
            </w:r>
            <w:r w:rsidR="00A70594" w:rsidRPr="00C57C8D">
              <w:rPr>
                <w:rFonts w:ascii="Arial" w:hAnsi="Arial" w:cs="Arial"/>
                <w:bCs/>
              </w:rPr>
              <w:t>C</w:t>
            </w:r>
            <w:r w:rsidR="00715C66" w:rsidRPr="00C57C8D">
              <w:rPr>
                <w:rFonts w:ascii="Arial" w:hAnsi="Arial" w:cs="Arial"/>
                <w:bCs/>
              </w:rPr>
              <w:t xml:space="preserve">arer </w:t>
            </w:r>
            <w:r w:rsidR="00A70594" w:rsidRPr="00C57C8D">
              <w:rPr>
                <w:rFonts w:ascii="Arial" w:hAnsi="Arial" w:cs="Arial"/>
                <w:bCs/>
              </w:rPr>
              <w:t>R</w:t>
            </w:r>
            <w:r w:rsidR="00715C66" w:rsidRPr="00C57C8D">
              <w:rPr>
                <w:rFonts w:ascii="Arial" w:hAnsi="Arial" w:cs="Arial"/>
                <w:bCs/>
              </w:rPr>
              <w:t xml:space="preserve">ace </w:t>
            </w:r>
            <w:r w:rsidR="00A70594" w:rsidRPr="00C57C8D">
              <w:rPr>
                <w:rFonts w:ascii="Arial" w:hAnsi="Arial" w:cs="Arial"/>
                <w:bCs/>
              </w:rPr>
              <w:t>E</w:t>
            </w:r>
            <w:r w:rsidR="00715C66" w:rsidRPr="00C57C8D">
              <w:rPr>
                <w:rFonts w:ascii="Arial" w:hAnsi="Arial" w:cs="Arial"/>
                <w:bCs/>
              </w:rPr>
              <w:t xml:space="preserve">quality </w:t>
            </w:r>
            <w:r w:rsidR="00A70594" w:rsidRPr="00C57C8D">
              <w:rPr>
                <w:rFonts w:ascii="Arial" w:hAnsi="Arial" w:cs="Arial"/>
                <w:bCs/>
              </w:rPr>
              <w:t>F</w:t>
            </w:r>
            <w:r w:rsidR="00715C66" w:rsidRPr="00C57C8D">
              <w:rPr>
                <w:rFonts w:ascii="Arial" w:hAnsi="Arial" w:cs="Arial"/>
                <w:bCs/>
              </w:rPr>
              <w:t>ramework</w:t>
            </w:r>
            <w:r w:rsidR="00A70594" w:rsidRPr="00C57C8D">
              <w:rPr>
                <w:rFonts w:ascii="Arial" w:hAnsi="Arial" w:cs="Arial"/>
                <w:bCs/>
              </w:rPr>
              <w:t xml:space="preserve"> and Health Inequalities</w:t>
            </w:r>
          </w:p>
        </w:tc>
      </w:tr>
      <w:tr w:rsidR="00104F67" w:rsidRPr="00C57C8D" w14:paraId="3AC83B98" w14:textId="77777777" w:rsidTr="00556E41">
        <w:tc>
          <w:tcPr>
            <w:tcW w:w="461" w:type="dxa"/>
          </w:tcPr>
          <w:p w14:paraId="7860F16E" w14:textId="2EA3057F" w:rsidR="00104F67" w:rsidRDefault="00104F67" w:rsidP="002412B6">
            <w:pPr>
              <w:spacing w:before="100" w:beforeAutospacing="1" w:after="100" w:afterAutospacing="1" w:line="360" w:lineRule="auto"/>
              <w:rPr>
                <w:rFonts w:ascii="Arial" w:hAnsi="Arial" w:cs="Arial"/>
              </w:rPr>
            </w:pPr>
            <w:r>
              <w:rPr>
                <w:rFonts w:ascii="Arial" w:hAnsi="Arial" w:cs="Arial"/>
              </w:rPr>
              <w:t>7</w:t>
            </w:r>
          </w:p>
        </w:tc>
        <w:tc>
          <w:tcPr>
            <w:tcW w:w="8323" w:type="dxa"/>
          </w:tcPr>
          <w:p w14:paraId="3A1B0CD6" w14:textId="158E4A43" w:rsidR="00104F67" w:rsidRPr="00C57C8D" w:rsidRDefault="00104F67" w:rsidP="002412B6">
            <w:pPr>
              <w:spacing w:before="100" w:beforeAutospacing="1" w:after="100" w:afterAutospacing="1" w:line="360" w:lineRule="auto"/>
              <w:rPr>
                <w:rFonts w:ascii="Arial" w:hAnsi="Arial" w:cs="Arial"/>
                <w:bCs/>
              </w:rPr>
            </w:pPr>
            <w:r>
              <w:rPr>
                <w:rFonts w:ascii="Arial" w:hAnsi="Arial" w:cs="Arial"/>
                <w:bCs/>
              </w:rPr>
              <w:t xml:space="preserve">EDI </w:t>
            </w:r>
            <w:proofErr w:type="gramStart"/>
            <w:r>
              <w:rPr>
                <w:rFonts w:ascii="Arial" w:hAnsi="Arial" w:cs="Arial"/>
                <w:bCs/>
              </w:rPr>
              <w:t>Lead</w:t>
            </w:r>
            <w:proofErr w:type="gramEnd"/>
            <w:r>
              <w:rPr>
                <w:rFonts w:ascii="Arial" w:hAnsi="Arial" w:cs="Arial"/>
                <w:bCs/>
              </w:rPr>
              <w:t xml:space="preserve"> to work with local partners to realise the aims of the Disability Confident Leader Programme. </w:t>
            </w:r>
          </w:p>
        </w:tc>
      </w:tr>
    </w:tbl>
    <w:p w14:paraId="7618C143" w14:textId="77777777" w:rsidR="00EA1FF3" w:rsidRPr="00C57C8D" w:rsidRDefault="00EA1FF3" w:rsidP="002412B6">
      <w:pPr>
        <w:spacing w:before="100" w:beforeAutospacing="1" w:after="100" w:afterAutospacing="1" w:line="360" w:lineRule="auto"/>
        <w:rPr>
          <w:rFonts w:ascii="Arial" w:eastAsia="Calibri" w:hAnsi="Arial" w:cs="Arial"/>
          <w:b/>
        </w:rPr>
      </w:pPr>
    </w:p>
    <w:p w14:paraId="3A1C7400" w14:textId="77777777" w:rsidR="00963DDA" w:rsidRPr="00C57C8D" w:rsidRDefault="00963DDA" w:rsidP="002412B6">
      <w:pPr>
        <w:spacing w:before="100" w:beforeAutospacing="1" w:after="100" w:afterAutospacing="1" w:line="360" w:lineRule="auto"/>
        <w:rPr>
          <w:rFonts w:ascii="Arial" w:eastAsia="Calibri" w:hAnsi="Arial" w:cs="Arial"/>
          <w:b/>
        </w:rPr>
      </w:pPr>
      <w:r w:rsidRPr="00C57C8D">
        <w:rPr>
          <w:rFonts w:ascii="Arial" w:eastAsia="Calibri" w:hAnsi="Arial" w:cs="Arial"/>
          <w:b/>
        </w:rPr>
        <w:br w:type="page"/>
      </w:r>
    </w:p>
    <w:p w14:paraId="42A3B1A6" w14:textId="4029D992" w:rsidR="00B920E4" w:rsidRPr="002F1C47" w:rsidRDefault="00B920E4" w:rsidP="00B920E4">
      <w:pPr>
        <w:rPr>
          <w:rFonts w:ascii="Calibri" w:eastAsia="Calibri" w:hAnsi="Calibri" w:cs="Calibri"/>
          <w:b/>
          <w:sz w:val="28"/>
          <w:szCs w:val="28"/>
        </w:rPr>
      </w:pPr>
      <w:r w:rsidRPr="00421489">
        <w:rPr>
          <w:rFonts w:ascii="Calibri" w:eastAsia="Calibri" w:hAnsi="Calibri" w:cs="Calibri"/>
          <w:b/>
          <w:sz w:val="28"/>
          <w:szCs w:val="28"/>
        </w:rPr>
        <w:lastRenderedPageBreak/>
        <w:t xml:space="preserve">Appendix </w:t>
      </w:r>
      <w:r>
        <w:rPr>
          <w:rFonts w:ascii="Calibri" w:eastAsia="Calibri" w:hAnsi="Calibri" w:cs="Calibri"/>
          <w:b/>
          <w:sz w:val="28"/>
          <w:szCs w:val="28"/>
        </w:rPr>
        <w:t>1:</w:t>
      </w:r>
      <w:r w:rsidRPr="00421489">
        <w:rPr>
          <w:rFonts w:ascii="Calibri" w:eastAsia="Calibri" w:hAnsi="Calibri" w:cs="Calibri"/>
          <w:b/>
          <w:sz w:val="28"/>
          <w:szCs w:val="28"/>
        </w:rPr>
        <w:t xml:space="preserve"> Data Sources</w:t>
      </w:r>
    </w:p>
    <w:tbl>
      <w:tblPr>
        <w:tblStyle w:val="TableGrid"/>
        <w:tblW w:w="0" w:type="auto"/>
        <w:tblLook w:val="04A0" w:firstRow="1" w:lastRow="0" w:firstColumn="1" w:lastColumn="0" w:noHBand="0" w:noVBand="1"/>
      </w:tblPr>
      <w:tblGrid>
        <w:gridCol w:w="5920"/>
        <w:gridCol w:w="3322"/>
      </w:tblGrid>
      <w:tr w:rsidR="00B920E4" w:rsidRPr="002F1C47" w14:paraId="2BD15BA6" w14:textId="77777777" w:rsidTr="00B920E4">
        <w:tc>
          <w:tcPr>
            <w:tcW w:w="5920" w:type="dxa"/>
            <w:shd w:val="clear" w:color="auto" w:fill="8EAADB"/>
          </w:tcPr>
          <w:p w14:paraId="1CE30E30" w14:textId="77777777" w:rsidR="00B920E4" w:rsidRPr="002F1C47" w:rsidRDefault="00B920E4" w:rsidP="000155EA">
            <w:pPr>
              <w:jc w:val="center"/>
              <w:rPr>
                <w:rFonts w:ascii="Calibri" w:eastAsia="Calibri" w:hAnsi="Calibri" w:cs="Calibri"/>
                <w:b/>
                <w:sz w:val="24"/>
                <w:szCs w:val="24"/>
              </w:rPr>
            </w:pPr>
            <w:r w:rsidRPr="002F1C47">
              <w:rPr>
                <w:rFonts w:ascii="Calibri" w:eastAsia="Calibri" w:hAnsi="Calibri" w:cs="Calibri"/>
                <w:b/>
                <w:sz w:val="24"/>
                <w:szCs w:val="24"/>
              </w:rPr>
              <w:t>Metric</w:t>
            </w:r>
          </w:p>
        </w:tc>
        <w:tc>
          <w:tcPr>
            <w:tcW w:w="3322" w:type="dxa"/>
            <w:shd w:val="clear" w:color="auto" w:fill="8EAADB"/>
          </w:tcPr>
          <w:p w14:paraId="4DA41BF5" w14:textId="77777777" w:rsidR="00B920E4" w:rsidRPr="002F1C47" w:rsidRDefault="00B920E4" w:rsidP="000155EA">
            <w:pPr>
              <w:jc w:val="center"/>
              <w:rPr>
                <w:rFonts w:ascii="Calibri" w:eastAsia="Calibri" w:hAnsi="Calibri" w:cs="Calibri"/>
                <w:b/>
                <w:sz w:val="24"/>
                <w:szCs w:val="24"/>
              </w:rPr>
            </w:pPr>
            <w:r w:rsidRPr="002F1C47">
              <w:rPr>
                <w:rFonts w:ascii="Calibri" w:eastAsia="Calibri" w:hAnsi="Calibri" w:cs="Calibri"/>
                <w:b/>
                <w:sz w:val="24"/>
                <w:szCs w:val="24"/>
              </w:rPr>
              <w:t>Data Source</w:t>
            </w:r>
          </w:p>
        </w:tc>
      </w:tr>
      <w:tr w:rsidR="00B920E4" w:rsidRPr="002F1C47" w14:paraId="0FD2DBB1" w14:textId="77777777" w:rsidTr="00B920E4">
        <w:tc>
          <w:tcPr>
            <w:tcW w:w="5920" w:type="dxa"/>
          </w:tcPr>
          <w:p w14:paraId="57A45960" w14:textId="35DF8B23"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 xml:space="preserve">Metric 1 - Percentage of staff in </w:t>
            </w:r>
            <w:proofErr w:type="spellStart"/>
            <w:r w:rsidRPr="002F1C47">
              <w:rPr>
                <w:rFonts w:ascii="Calibri" w:eastAsia="Calibri" w:hAnsi="Calibri" w:cs="Calibri"/>
                <w:bCs/>
                <w:sz w:val="24"/>
                <w:szCs w:val="24"/>
              </w:rPr>
              <w:t>AfC</w:t>
            </w:r>
            <w:proofErr w:type="spellEnd"/>
            <w:r>
              <w:rPr>
                <w:rFonts w:ascii="Calibri" w:eastAsia="Calibri" w:hAnsi="Calibri" w:cs="Calibri"/>
                <w:bCs/>
                <w:sz w:val="24"/>
                <w:szCs w:val="24"/>
              </w:rPr>
              <w:t xml:space="preserve"> </w:t>
            </w:r>
            <w:r w:rsidRPr="002F1C47">
              <w:rPr>
                <w:rFonts w:ascii="Calibri" w:eastAsia="Calibri" w:hAnsi="Calibri" w:cs="Calibri"/>
                <w:bCs/>
                <w:sz w:val="24"/>
                <w:szCs w:val="24"/>
              </w:rPr>
              <w:t xml:space="preserve">pay bands or medical and dental subgroups and very senior managers (including executive board members) compared with the percentage of staff in the overall workforce. </w:t>
            </w:r>
          </w:p>
        </w:tc>
        <w:tc>
          <w:tcPr>
            <w:tcW w:w="3322" w:type="dxa"/>
          </w:tcPr>
          <w:p w14:paraId="5705AD36"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ESR</w:t>
            </w:r>
          </w:p>
        </w:tc>
      </w:tr>
      <w:tr w:rsidR="00B920E4" w:rsidRPr="002F1C47" w14:paraId="50822A16" w14:textId="77777777" w:rsidTr="00B920E4">
        <w:tc>
          <w:tcPr>
            <w:tcW w:w="5920" w:type="dxa"/>
          </w:tcPr>
          <w:p w14:paraId="4B5C0697" w14:textId="6E3439E2"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 2 – Relative likelihood of Disabled staff compared to non-disabled staff being appointed from shortlisting across all posts</w:t>
            </w:r>
            <w:r w:rsidRPr="002F1C47">
              <w:rPr>
                <w:rFonts w:ascii="Calibri" w:eastAsia="Calibri" w:hAnsi="Calibri" w:cs="Calibri"/>
                <w:bCs/>
                <w:sz w:val="24"/>
                <w:szCs w:val="24"/>
              </w:rPr>
              <w:tab/>
            </w:r>
          </w:p>
        </w:tc>
        <w:tc>
          <w:tcPr>
            <w:tcW w:w="3322" w:type="dxa"/>
          </w:tcPr>
          <w:p w14:paraId="2475A686"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Trust’s recruitment data</w:t>
            </w:r>
          </w:p>
        </w:tc>
      </w:tr>
      <w:tr w:rsidR="00B920E4" w:rsidRPr="002F1C47" w14:paraId="2D9245A9" w14:textId="77777777" w:rsidTr="00B920E4">
        <w:tc>
          <w:tcPr>
            <w:tcW w:w="5920" w:type="dxa"/>
          </w:tcPr>
          <w:p w14:paraId="7B558131" w14:textId="560EF243"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 3 – Relative likelihood of Disabled staff compared to non-disabled staff entering the formal capability process, as measured by entry into the formal capability procedure.</w:t>
            </w:r>
          </w:p>
        </w:tc>
        <w:tc>
          <w:tcPr>
            <w:tcW w:w="3322" w:type="dxa"/>
          </w:tcPr>
          <w:p w14:paraId="1A4A4052"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Trust’s HR data</w:t>
            </w:r>
          </w:p>
        </w:tc>
      </w:tr>
      <w:tr w:rsidR="00B920E4" w:rsidRPr="002F1C47" w14:paraId="3C3CE88B" w14:textId="77777777" w:rsidTr="00B920E4">
        <w:tc>
          <w:tcPr>
            <w:tcW w:w="5920" w:type="dxa"/>
          </w:tcPr>
          <w:p w14:paraId="5D6C2F04" w14:textId="56EDA994"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 4 – Percentage of Disabled staff compared to non-disabled staff experiencing harassment, bullying or abuse.</w:t>
            </w:r>
            <w:r w:rsidRPr="002F1C47">
              <w:rPr>
                <w:rFonts w:ascii="Calibri" w:eastAsia="Calibri" w:hAnsi="Calibri" w:cs="Calibri"/>
                <w:bCs/>
                <w:sz w:val="24"/>
                <w:szCs w:val="24"/>
              </w:rPr>
              <w:tab/>
            </w:r>
          </w:p>
        </w:tc>
        <w:tc>
          <w:tcPr>
            <w:tcW w:w="3322" w:type="dxa"/>
          </w:tcPr>
          <w:p w14:paraId="1A54A4A4"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Question 13, NHS Staff Survey</w:t>
            </w:r>
          </w:p>
        </w:tc>
      </w:tr>
      <w:tr w:rsidR="00B920E4" w:rsidRPr="002F1C47" w14:paraId="2BFD358C" w14:textId="77777777" w:rsidTr="00B920E4">
        <w:tc>
          <w:tcPr>
            <w:tcW w:w="5920" w:type="dxa"/>
          </w:tcPr>
          <w:p w14:paraId="4E4A552F" w14:textId="5FECEB6C"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Metrics 5 – 8</w:t>
            </w:r>
          </w:p>
        </w:tc>
        <w:tc>
          <w:tcPr>
            <w:tcW w:w="3322" w:type="dxa"/>
          </w:tcPr>
          <w:p w14:paraId="14B2D760"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Questions 14, 11, 5, 28b, NHS Staff Survey</w:t>
            </w:r>
          </w:p>
        </w:tc>
      </w:tr>
      <w:tr w:rsidR="00B920E4" w:rsidRPr="002F1C47" w14:paraId="428B6B96" w14:textId="77777777" w:rsidTr="00B920E4">
        <w:tc>
          <w:tcPr>
            <w:tcW w:w="5920" w:type="dxa"/>
          </w:tcPr>
          <w:p w14:paraId="009CE86B" w14:textId="00D520DD"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 9 – Disabled staff engagement</w:t>
            </w:r>
          </w:p>
        </w:tc>
        <w:tc>
          <w:tcPr>
            <w:tcW w:w="3322" w:type="dxa"/>
          </w:tcPr>
          <w:p w14:paraId="2453EBD7" w14:textId="1D672AC1"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NHS Staff Survey</w:t>
            </w:r>
          </w:p>
        </w:tc>
      </w:tr>
      <w:tr w:rsidR="00B920E4" w:rsidRPr="002F1C47" w14:paraId="56CA89EA" w14:textId="77777777" w:rsidTr="00B920E4">
        <w:tc>
          <w:tcPr>
            <w:tcW w:w="5920" w:type="dxa"/>
          </w:tcPr>
          <w:p w14:paraId="79AB3ED4"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Metric 10 – Percentage difference between the organisation’s board voting membership and its organisation’s overall workforce</w:t>
            </w:r>
          </w:p>
        </w:tc>
        <w:tc>
          <w:tcPr>
            <w:tcW w:w="3322" w:type="dxa"/>
          </w:tcPr>
          <w:p w14:paraId="399651BD" w14:textId="77777777" w:rsidR="00B920E4" w:rsidRPr="002F1C47" w:rsidRDefault="00B920E4" w:rsidP="000155EA">
            <w:pPr>
              <w:rPr>
                <w:rFonts w:ascii="Calibri" w:eastAsia="Calibri" w:hAnsi="Calibri" w:cs="Calibri"/>
                <w:bCs/>
                <w:sz w:val="24"/>
                <w:szCs w:val="24"/>
              </w:rPr>
            </w:pPr>
            <w:r w:rsidRPr="002F1C47">
              <w:rPr>
                <w:rFonts w:ascii="Calibri" w:eastAsia="Calibri" w:hAnsi="Calibri" w:cs="Calibri"/>
                <w:bCs/>
                <w:sz w:val="24"/>
                <w:szCs w:val="24"/>
              </w:rPr>
              <w:t>ESR and/or trust’s local data</w:t>
            </w:r>
          </w:p>
        </w:tc>
      </w:tr>
    </w:tbl>
    <w:p w14:paraId="3319B013" w14:textId="77777777" w:rsidR="00B920E4" w:rsidRPr="0018372A" w:rsidRDefault="00B920E4" w:rsidP="00B920E4">
      <w:pPr>
        <w:spacing w:after="160" w:line="259" w:lineRule="auto"/>
        <w:rPr>
          <w:rFonts w:ascii="Calibri" w:eastAsia="Calibri" w:hAnsi="Calibri" w:cs="Calibri"/>
        </w:rPr>
      </w:pPr>
    </w:p>
    <w:p w14:paraId="7B84891D" w14:textId="77777777" w:rsidR="00B920E4" w:rsidRDefault="00B920E4" w:rsidP="00B920E4"/>
    <w:p w14:paraId="5E06C4E7" w14:textId="25F9FADB" w:rsidR="00E666D2" w:rsidRPr="00C57C8D" w:rsidRDefault="00E666D2" w:rsidP="00B920E4">
      <w:pPr>
        <w:spacing w:before="100" w:beforeAutospacing="1" w:after="100" w:afterAutospacing="1" w:line="360" w:lineRule="auto"/>
        <w:rPr>
          <w:rFonts w:ascii="Arial" w:hAnsi="Arial" w:cs="Arial"/>
        </w:rPr>
      </w:pPr>
    </w:p>
    <w:sectPr w:rsidR="00E666D2" w:rsidRPr="00C57C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882E" w14:textId="77777777" w:rsidR="004567AF" w:rsidRDefault="004567AF" w:rsidP="00280735">
      <w:pPr>
        <w:spacing w:after="0" w:line="240" w:lineRule="auto"/>
      </w:pPr>
      <w:r>
        <w:separator/>
      </w:r>
    </w:p>
  </w:endnote>
  <w:endnote w:type="continuationSeparator" w:id="0">
    <w:p w14:paraId="260B87D3" w14:textId="77777777" w:rsidR="004567AF" w:rsidRDefault="004567AF" w:rsidP="0028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676772"/>
      <w:docPartObj>
        <w:docPartGallery w:val="Page Numbers (Bottom of Page)"/>
        <w:docPartUnique/>
      </w:docPartObj>
    </w:sdtPr>
    <w:sdtEndPr>
      <w:rPr>
        <w:noProof/>
      </w:rPr>
    </w:sdtEndPr>
    <w:sdtContent>
      <w:p w14:paraId="47539171" w14:textId="55743C07" w:rsidR="00280735" w:rsidRDefault="00280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3B1110" w14:textId="77777777" w:rsidR="00280735" w:rsidRDefault="00280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E960" w14:textId="77777777" w:rsidR="004567AF" w:rsidRDefault="004567AF" w:rsidP="00280735">
      <w:pPr>
        <w:spacing w:after="0" w:line="240" w:lineRule="auto"/>
      </w:pPr>
      <w:r>
        <w:separator/>
      </w:r>
    </w:p>
  </w:footnote>
  <w:footnote w:type="continuationSeparator" w:id="0">
    <w:p w14:paraId="6CDF2091" w14:textId="77777777" w:rsidR="004567AF" w:rsidRDefault="004567AF" w:rsidP="00280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DE"/>
    <w:multiLevelType w:val="multilevel"/>
    <w:tmpl w:val="749A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70B15"/>
    <w:multiLevelType w:val="hybridMultilevel"/>
    <w:tmpl w:val="AEA8D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4895"/>
    <w:multiLevelType w:val="hybridMultilevel"/>
    <w:tmpl w:val="696A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22320"/>
    <w:multiLevelType w:val="hybridMultilevel"/>
    <w:tmpl w:val="8C7A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A0EBA"/>
    <w:multiLevelType w:val="hybridMultilevel"/>
    <w:tmpl w:val="751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6678"/>
    <w:multiLevelType w:val="hybridMultilevel"/>
    <w:tmpl w:val="8B98E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F236FF"/>
    <w:multiLevelType w:val="hybridMultilevel"/>
    <w:tmpl w:val="154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30D73"/>
    <w:multiLevelType w:val="hybridMultilevel"/>
    <w:tmpl w:val="B3DA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189977">
    <w:abstractNumId w:val="6"/>
  </w:num>
  <w:num w:numId="2" w16cid:durableId="1377319696">
    <w:abstractNumId w:val="2"/>
  </w:num>
  <w:num w:numId="3" w16cid:durableId="1191990808">
    <w:abstractNumId w:val="1"/>
  </w:num>
  <w:num w:numId="4" w16cid:durableId="223805769">
    <w:abstractNumId w:val="0"/>
  </w:num>
  <w:num w:numId="5" w16cid:durableId="1158230060">
    <w:abstractNumId w:val="4"/>
  </w:num>
  <w:num w:numId="6" w16cid:durableId="884176913">
    <w:abstractNumId w:val="7"/>
  </w:num>
  <w:num w:numId="7" w16cid:durableId="281426487">
    <w:abstractNumId w:val="3"/>
  </w:num>
  <w:num w:numId="8" w16cid:durableId="960957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A22"/>
    <w:rsid w:val="00030EDA"/>
    <w:rsid w:val="00033073"/>
    <w:rsid w:val="000335DA"/>
    <w:rsid w:val="00057274"/>
    <w:rsid w:val="00065070"/>
    <w:rsid w:val="00074DF7"/>
    <w:rsid w:val="00080B72"/>
    <w:rsid w:val="00082AD6"/>
    <w:rsid w:val="000856BC"/>
    <w:rsid w:val="000932AB"/>
    <w:rsid w:val="000A2E39"/>
    <w:rsid w:val="000A3334"/>
    <w:rsid w:val="000B1017"/>
    <w:rsid w:val="000B1B83"/>
    <w:rsid w:val="000B30F9"/>
    <w:rsid w:val="000B4FC8"/>
    <w:rsid w:val="000C0141"/>
    <w:rsid w:val="000C1296"/>
    <w:rsid w:val="000D1F2C"/>
    <w:rsid w:val="000D5A18"/>
    <w:rsid w:val="000F5008"/>
    <w:rsid w:val="00102B2A"/>
    <w:rsid w:val="00104F67"/>
    <w:rsid w:val="001053D8"/>
    <w:rsid w:val="00113BD6"/>
    <w:rsid w:val="00116770"/>
    <w:rsid w:val="00145BD2"/>
    <w:rsid w:val="0015765A"/>
    <w:rsid w:val="001A0657"/>
    <w:rsid w:val="001A48F0"/>
    <w:rsid w:val="001B0D1F"/>
    <w:rsid w:val="001C3B56"/>
    <w:rsid w:val="001C61ED"/>
    <w:rsid w:val="001D0F10"/>
    <w:rsid w:val="001F6514"/>
    <w:rsid w:val="001F6790"/>
    <w:rsid w:val="00207F73"/>
    <w:rsid w:val="0021660C"/>
    <w:rsid w:val="00221F29"/>
    <w:rsid w:val="00221FC5"/>
    <w:rsid w:val="00225476"/>
    <w:rsid w:val="00230187"/>
    <w:rsid w:val="002412B6"/>
    <w:rsid w:val="00250B0D"/>
    <w:rsid w:val="002554B0"/>
    <w:rsid w:val="0026502C"/>
    <w:rsid w:val="00267383"/>
    <w:rsid w:val="00276649"/>
    <w:rsid w:val="00280735"/>
    <w:rsid w:val="00283A85"/>
    <w:rsid w:val="00284D4A"/>
    <w:rsid w:val="00286FB0"/>
    <w:rsid w:val="00287DBB"/>
    <w:rsid w:val="002A2E37"/>
    <w:rsid w:val="002B1DFC"/>
    <w:rsid w:val="002D5055"/>
    <w:rsid w:val="002E0AE5"/>
    <w:rsid w:val="002E1FAB"/>
    <w:rsid w:val="002F04D5"/>
    <w:rsid w:val="002F1122"/>
    <w:rsid w:val="002F5EFE"/>
    <w:rsid w:val="00300D65"/>
    <w:rsid w:val="00325C24"/>
    <w:rsid w:val="00340D08"/>
    <w:rsid w:val="00347E9C"/>
    <w:rsid w:val="003664EA"/>
    <w:rsid w:val="0037675C"/>
    <w:rsid w:val="00376D40"/>
    <w:rsid w:val="00397A45"/>
    <w:rsid w:val="003A2761"/>
    <w:rsid w:val="003A6D5B"/>
    <w:rsid w:val="003C22EF"/>
    <w:rsid w:val="003F041B"/>
    <w:rsid w:val="003F1D8D"/>
    <w:rsid w:val="003F608D"/>
    <w:rsid w:val="0040359D"/>
    <w:rsid w:val="00403DA5"/>
    <w:rsid w:val="004173A7"/>
    <w:rsid w:val="004203C5"/>
    <w:rsid w:val="00423CD5"/>
    <w:rsid w:val="0042703C"/>
    <w:rsid w:val="00427390"/>
    <w:rsid w:val="00432C3F"/>
    <w:rsid w:val="004402E7"/>
    <w:rsid w:val="004443CF"/>
    <w:rsid w:val="00445D20"/>
    <w:rsid w:val="00447818"/>
    <w:rsid w:val="00453961"/>
    <w:rsid w:val="00453D2C"/>
    <w:rsid w:val="0045416A"/>
    <w:rsid w:val="0045416E"/>
    <w:rsid w:val="004567AF"/>
    <w:rsid w:val="00464022"/>
    <w:rsid w:val="0046427F"/>
    <w:rsid w:val="00486C85"/>
    <w:rsid w:val="00496BCC"/>
    <w:rsid w:val="004A20EC"/>
    <w:rsid w:val="004A3EE2"/>
    <w:rsid w:val="004A5F94"/>
    <w:rsid w:val="004B3409"/>
    <w:rsid w:val="004C23D3"/>
    <w:rsid w:val="004C395D"/>
    <w:rsid w:val="004C602A"/>
    <w:rsid w:val="004D1E15"/>
    <w:rsid w:val="004D7730"/>
    <w:rsid w:val="005114D3"/>
    <w:rsid w:val="005173D8"/>
    <w:rsid w:val="005216AE"/>
    <w:rsid w:val="00522BCE"/>
    <w:rsid w:val="00522ED3"/>
    <w:rsid w:val="0052336C"/>
    <w:rsid w:val="00540FD0"/>
    <w:rsid w:val="0054393B"/>
    <w:rsid w:val="0057628E"/>
    <w:rsid w:val="005856B8"/>
    <w:rsid w:val="00592454"/>
    <w:rsid w:val="00597C9F"/>
    <w:rsid w:val="005A63D5"/>
    <w:rsid w:val="005B1058"/>
    <w:rsid w:val="005B5696"/>
    <w:rsid w:val="005C2FF8"/>
    <w:rsid w:val="005D0847"/>
    <w:rsid w:val="005D5EA5"/>
    <w:rsid w:val="00603A65"/>
    <w:rsid w:val="0061670E"/>
    <w:rsid w:val="00621E58"/>
    <w:rsid w:val="00621E8D"/>
    <w:rsid w:val="00622EB0"/>
    <w:rsid w:val="00641B9C"/>
    <w:rsid w:val="006452A3"/>
    <w:rsid w:val="00647DDB"/>
    <w:rsid w:val="0066206A"/>
    <w:rsid w:val="0066425F"/>
    <w:rsid w:val="0067314F"/>
    <w:rsid w:val="00673AFD"/>
    <w:rsid w:val="0068059A"/>
    <w:rsid w:val="0068556D"/>
    <w:rsid w:val="0068676B"/>
    <w:rsid w:val="0069135C"/>
    <w:rsid w:val="00692036"/>
    <w:rsid w:val="00692C25"/>
    <w:rsid w:val="006A049A"/>
    <w:rsid w:val="006A6199"/>
    <w:rsid w:val="006A7D76"/>
    <w:rsid w:val="006B30F9"/>
    <w:rsid w:val="006B7E47"/>
    <w:rsid w:val="006C19F0"/>
    <w:rsid w:val="006C4A54"/>
    <w:rsid w:val="006D4C1B"/>
    <w:rsid w:val="006D60F5"/>
    <w:rsid w:val="006D79E0"/>
    <w:rsid w:val="006E3744"/>
    <w:rsid w:val="006F3DB0"/>
    <w:rsid w:val="00703B53"/>
    <w:rsid w:val="007047CB"/>
    <w:rsid w:val="00715C66"/>
    <w:rsid w:val="00742E16"/>
    <w:rsid w:val="00751639"/>
    <w:rsid w:val="00763DC2"/>
    <w:rsid w:val="00780775"/>
    <w:rsid w:val="0079001C"/>
    <w:rsid w:val="007917AA"/>
    <w:rsid w:val="00792FEB"/>
    <w:rsid w:val="00794F96"/>
    <w:rsid w:val="007A191E"/>
    <w:rsid w:val="007C5D5B"/>
    <w:rsid w:val="007C5E7E"/>
    <w:rsid w:val="007D201F"/>
    <w:rsid w:val="007F3194"/>
    <w:rsid w:val="007F31DB"/>
    <w:rsid w:val="008203B2"/>
    <w:rsid w:val="00825FF1"/>
    <w:rsid w:val="00845525"/>
    <w:rsid w:val="00851621"/>
    <w:rsid w:val="0086404B"/>
    <w:rsid w:val="00867B16"/>
    <w:rsid w:val="00874E64"/>
    <w:rsid w:val="00877738"/>
    <w:rsid w:val="00886D62"/>
    <w:rsid w:val="00891A67"/>
    <w:rsid w:val="008A4046"/>
    <w:rsid w:val="008A5A22"/>
    <w:rsid w:val="008B257F"/>
    <w:rsid w:val="008B554E"/>
    <w:rsid w:val="008D3A8F"/>
    <w:rsid w:val="009177CB"/>
    <w:rsid w:val="009205D3"/>
    <w:rsid w:val="00925810"/>
    <w:rsid w:val="00956380"/>
    <w:rsid w:val="0096059C"/>
    <w:rsid w:val="00963DDA"/>
    <w:rsid w:val="009676E8"/>
    <w:rsid w:val="00967F9B"/>
    <w:rsid w:val="00974EF2"/>
    <w:rsid w:val="009750C4"/>
    <w:rsid w:val="009758DA"/>
    <w:rsid w:val="00980CC3"/>
    <w:rsid w:val="00992A98"/>
    <w:rsid w:val="009A746B"/>
    <w:rsid w:val="009B64ED"/>
    <w:rsid w:val="009C22F4"/>
    <w:rsid w:val="009C3C3B"/>
    <w:rsid w:val="009C7A31"/>
    <w:rsid w:val="009E1284"/>
    <w:rsid w:val="009E1A4C"/>
    <w:rsid w:val="009E2E63"/>
    <w:rsid w:val="009E3F30"/>
    <w:rsid w:val="009F3CC1"/>
    <w:rsid w:val="009F64FE"/>
    <w:rsid w:val="009F739C"/>
    <w:rsid w:val="009F7EC4"/>
    <w:rsid w:val="00A22F20"/>
    <w:rsid w:val="00A37FD2"/>
    <w:rsid w:val="00A459A7"/>
    <w:rsid w:val="00A47EC4"/>
    <w:rsid w:val="00A511F9"/>
    <w:rsid w:val="00A5356B"/>
    <w:rsid w:val="00A548AD"/>
    <w:rsid w:val="00A64DD1"/>
    <w:rsid w:val="00A6504D"/>
    <w:rsid w:val="00A70594"/>
    <w:rsid w:val="00A7707E"/>
    <w:rsid w:val="00A9187B"/>
    <w:rsid w:val="00AA7C72"/>
    <w:rsid w:val="00AB4C07"/>
    <w:rsid w:val="00AB7A57"/>
    <w:rsid w:val="00AB7BA9"/>
    <w:rsid w:val="00AC62BC"/>
    <w:rsid w:val="00B052D7"/>
    <w:rsid w:val="00B1353F"/>
    <w:rsid w:val="00B1647D"/>
    <w:rsid w:val="00B24D04"/>
    <w:rsid w:val="00B33841"/>
    <w:rsid w:val="00B3401B"/>
    <w:rsid w:val="00B6687F"/>
    <w:rsid w:val="00B6772E"/>
    <w:rsid w:val="00B723B7"/>
    <w:rsid w:val="00B769F3"/>
    <w:rsid w:val="00B80614"/>
    <w:rsid w:val="00B82AA2"/>
    <w:rsid w:val="00B86222"/>
    <w:rsid w:val="00B920E4"/>
    <w:rsid w:val="00B963B1"/>
    <w:rsid w:val="00BB09A6"/>
    <w:rsid w:val="00BB2108"/>
    <w:rsid w:val="00BB5DB4"/>
    <w:rsid w:val="00BD6762"/>
    <w:rsid w:val="00BF00F3"/>
    <w:rsid w:val="00BF1015"/>
    <w:rsid w:val="00BF2E07"/>
    <w:rsid w:val="00C212A6"/>
    <w:rsid w:val="00C310FF"/>
    <w:rsid w:val="00C418FE"/>
    <w:rsid w:val="00C47667"/>
    <w:rsid w:val="00C57C8D"/>
    <w:rsid w:val="00C76089"/>
    <w:rsid w:val="00C7749A"/>
    <w:rsid w:val="00C854DB"/>
    <w:rsid w:val="00C85EF8"/>
    <w:rsid w:val="00C9509E"/>
    <w:rsid w:val="00C966A1"/>
    <w:rsid w:val="00C974A5"/>
    <w:rsid w:val="00CA146A"/>
    <w:rsid w:val="00CA2A32"/>
    <w:rsid w:val="00CA5019"/>
    <w:rsid w:val="00CB081B"/>
    <w:rsid w:val="00CB1AD0"/>
    <w:rsid w:val="00CB20C5"/>
    <w:rsid w:val="00CB27D3"/>
    <w:rsid w:val="00CB7450"/>
    <w:rsid w:val="00CD33EE"/>
    <w:rsid w:val="00CD36BB"/>
    <w:rsid w:val="00CE2CFC"/>
    <w:rsid w:val="00CF2006"/>
    <w:rsid w:val="00CF2A9B"/>
    <w:rsid w:val="00D061E7"/>
    <w:rsid w:val="00D11778"/>
    <w:rsid w:val="00D20EA9"/>
    <w:rsid w:val="00D23B1C"/>
    <w:rsid w:val="00D30EB3"/>
    <w:rsid w:val="00D40A74"/>
    <w:rsid w:val="00D641BA"/>
    <w:rsid w:val="00D7180E"/>
    <w:rsid w:val="00D75269"/>
    <w:rsid w:val="00D75B54"/>
    <w:rsid w:val="00D76471"/>
    <w:rsid w:val="00D82816"/>
    <w:rsid w:val="00D91BB0"/>
    <w:rsid w:val="00D967A7"/>
    <w:rsid w:val="00DA0D49"/>
    <w:rsid w:val="00DA127D"/>
    <w:rsid w:val="00DC6CE2"/>
    <w:rsid w:val="00DC7B13"/>
    <w:rsid w:val="00DE32D3"/>
    <w:rsid w:val="00DE5642"/>
    <w:rsid w:val="00DF3BD0"/>
    <w:rsid w:val="00DF4DE8"/>
    <w:rsid w:val="00E057C7"/>
    <w:rsid w:val="00E1070F"/>
    <w:rsid w:val="00E132A7"/>
    <w:rsid w:val="00E21AB4"/>
    <w:rsid w:val="00E4367C"/>
    <w:rsid w:val="00E466AE"/>
    <w:rsid w:val="00E55D87"/>
    <w:rsid w:val="00E5635D"/>
    <w:rsid w:val="00E6360A"/>
    <w:rsid w:val="00E666D2"/>
    <w:rsid w:val="00E75C54"/>
    <w:rsid w:val="00E775B9"/>
    <w:rsid w:val="00E80100"/>
    <w:rsid w:val="00E82B60"/>
    <w:rsid w:val="00E86BD3"/>
    <w:rsid w:val="00E944C6"/>
    <w:rsid w:val="00EA1FF3"/>
    <w:rsid w:val="00EA2624"/>
    <w:rsid w:val="00EA4A30"/>
    <w:rsid w:val="00EB3B30"/>
    <w:rsid w:val="00EC2F0C"/>
    <w:rsid w:val="00ED2A67"/>
    <w:rsid w:val="00EF2A6B"/>
    <w:rsid w:val="00F01D53"/>
    <w:rsid w:val="00F02348"/>
    <w:rsid w:val="00F11593"/>
    <w:rsid w:val="00F124C4"/>
    <w:rsid w:val="00F15B00"/>
    <w:rsid w:val="00F171D0"/>
    <w:rsid w:val="00F32FA5"/>
    <w:rsid w:val="00F3551E"/>
    <w:rsid w:val="00F41485"/>
    <w:rsid w:val="00F43D64"/>
    <w:rsid w:val="00F53C5B"/>
    <w:rsid w:val="00F561FD"/>
    <w:rsid w:val="00F6035E"/>
    <w:rsid w:val="00F663C1"/>
    <w:rsid w:val="00F740AC"/>
    <w:rsid w:val="00F75CD5"/>
    <w:rsid w:val="00F92A91"/>
    <w:rsid w:val="00F93B98"/>
    <w:rsid w:val="00F94A2A"/>
    <w:rsid w:val="00FA03BA"/>
    <w:rsid w:val="00FB1945"/>
    <w:rsid w:val="00FB47AB"/>
    <w:rsid w:val="00FB769E"/>
    <w:rsid w:val="00FC5BFA"/>
    <w:rsid w:val="00FD201D"/>
    <w:rsid w:val="00FD4275"/>
    <w:rsid w:val="00FE3E10"/>
    <w:rsid w:val="00FF004A"/>
    <w:rsid w:val="00FF0C2F"/>
    <w:rsid w:val="00FF1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2DDCB"/>
  <w15:chartTrackingRefBased/>
  <w15:docId w15:val="{AC00C515-9540-4BA8-A97B-7CFA3840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A7"/>
    <w:pPr>
      <w:spacing w:after="200" w:line="276" w:lineRule="auto"/>
    </w:pPr>
  </w:style>
  <w:style w:type="paragraph" w:styleId="Heading1">
    <w:name w:val="heading 1"/>
    <w:basedOn w:val="Normal"/>
    <w:next w:val="Normal"/>
    <w:link w:val="Heading1Char"/>
    <w:uiPriority w:val="9"/>
    <w:qFormat/>
    <w:rsid w:val="008A5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A22"/>
    <w:rPr>
      <w:rFonts w:eastAsiaTheme="majorEastAsia" w:cstheme="majorBidi"/>
      <w:color w:val="272727" w:themeColor="text1" w:themeTint="D8"/>
    </w:rPr>
  </w:style>
  <w:style w:type="paragraph" w:styleId="Title">
    <w:name w:val="Title"/>
    <w:basedOn w:val="Normal"/>
    <w:next w:val="Normal"/>
    <w:link w:val="TitleChar"/>
    <w:uiPriority w:val="10"/>
    <w:qFormat/>
    <w:rsid w:val="008A5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A22"/>
    <w:pPr>
      <w:spacing w:before="160"/>
      <w:jc w:val="center"/>
    </w:pPr>
    <w:rPr>
      <w:i/>
      <w:iCs/>
      <w:color w:val="404040" w:themeColor="text1" w:themeTint="BF"/>
    </w:rPr>
  </w:style>
  <w:style w:type="character" w:customStyle="1" w:styleId="QuoteChar">
    <w:name w:val="Quote Char"/>
    <w:basedOn w:val="DefaultParagraphFont"/>
    <w:link w:val="Quote"/>
    <w:uiPriority w:val="29"/>
    <w:rsid w:val="008A5A22"/>
    <w:rPr>
      <w:i/>
      <w:iCs/>
      <w:color w:val="404040" w:themeColor="text1" w:themeTint="BF"/>
    </w:rPr>
  </w:style>
  <w:style w:type="paragraph" w:styleId="ListParagraph">
    <w:name w:val="List Paragraph"/>
    <w:basedOn w:val="Normal"/>
    <w:link w:val="ListParagraphChar"/>
    <w:uiPriority w:val="34"/>
    <w:qFormat/>
    <w:rsid w:val="008A5A22"/>
    <w:pPr>
      <w:ind w:left="720"/>
      <w:contextualSpacing/>
    </w:pPr>
  </w:style>
  <w:style w:type="character" w:styleId="IntenseEmphasis">
    <w:name w:val="Intense Emphasis"/>
    <w:basedOn w:val="DefaultParagraphFont"/>
    <w:uiPriority w:val="21"/>
    <w:qFormat/>
    <w:rsid w:val="008A5A22"/>
    <w:rPr>
      <w:i/>
      <w:iCs/>
      <w:color w:val="2F5496" w:themeColor="accent1" w:themeShade="BF"/>
    </w:rPr>
  </w:style>
  <w:style w:type="paragraph" w:styleId="IntenseQuote">
    <w:name w:val="Intense Quote"/>
    <w:basedOn w:val="Normal"/>
    <w:next w:val="Normal"/>
    <w:link w:val="IntenseQuoteChar"/>
    <w:uiPriority w:val="30"/>
    <w:qFormat/>
    <w:rsid w:val="008A5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A22"/>
    <w:rPr>
      <w:i/>
      <w:iCs/>
      <w:color w:val="2F5496" w:themeColor="accent1" w:themeShade="BF"/>
    </w:rPr>
  </w:style>
  <w:style w:type="character" w:styleId="IntenseReference">
    <w:name w:val="Intense Reference"/>
    <w:basedOn w:val="DefaultParagraphFont"/>
    <w:uiPriority w:val="32"/>
    <w:qFormat/>
    <w:rsid w:val="008A5A22"/>
    <w:rPr>
      <w:b/>
      <w:bCs/>
      <w:smallCaps/>
      <w:color w:val="2F5496" w:themeColor="accent1" w:themeShade="BF"/>
      <w:spacing w:val="5"/>
    </w:rPr>
  </w:style>
  <w:style w:type="character" w:customStyle="1" w:styleId="ListParagraphChar">
    <w:name w:val="List Paragraph Char"/>
    <w:link w:val="ListParagraph"/>
    <w:uiPriority w:val="34"/>
    <w:locked/>
    <w:rsid w:val="00E132A7"/>
  </w:style>
  <w:style w:type="paragraph" w:customStyle="1" w:styleId="Default">
    <w:name w:val="Default"/>
    <w:rsid w:val="009205D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4D7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206A"/>
    <w:rPr>
      <w:color w:val="0563C1" w:themeColor="hyperlink"/>
      <w:u w:val="single"/>
    </w:rPr>
  </w:style>
  <w:style w:type="character" w:styleId="UnresolvedMention">
    <w:name w:val="Unresolved Mention"/>
    <w:basedOn w:val="DefaultParagraphFont"/>
    <w:uiPriority w:val="99"/>
    <w:semiHidden/>
    <w:unhideWhenUsed/>
    <w:rsid w:val="0066206A"/>
    <w:rPr>
      <w:color w:val="605E5C"/>
      <w:shd w:val="clear" w:color="auto" w:fill="E1DFDD"/>
    </w:rPr>
  </w:style>
  <w:style w:type="character" w:styleId="Emphasis">
    <w:name w:val="Emphasis"/>
    <w:basedOn w:val="DefaultParagraphFont"/>
    <w:uiPriority w:val="20"/>
    <w:qFormat/>
    <w:rsid w:val="00A37FD2"/>
    <w:rPr>
      <w:i/>
      <w:iCs/>
    </w:rPr>
  </w:style>
  <w:style w:type="paragraph" w:styleId="NoSpacing">
    <w:name w:val="No Spacing"/>
    <w:uiPriority w:val="1"/>
    <w:qFormat/>
    <w:rsid w:val="00F75CD5"/>
    <w:pPr>
      <w:spacing w:after="0" w:line="240" w:lineRule="auto"/>
    </w:pPr>
  </w:style>
  <w:style w:type="paragraph" w:styleId="Header">
    <w:name w:val="header"/>
    <w:basedOn w:val="Normal"/>
    <w:link w:val="HeaderChar"/>
    <w:uiPriority w:val="99"/>
    <w:unhideWhenUsed/>
    <w:rsid w:val="0028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35"/>
  </w:style>
  <w:style w:type="paragraph" w:styleId="Footer">
    <w:name w:val="footer"/>
    <w:basedOn w:val="Normal"/>
    <w:link w:val="FooterChar"/>
    <w:uiPriority w:val="99"/>
    <w:unhideWhenUsed/>
    <w:rsid w:val="0028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35"/>
  </w:style>
  <w:style w:type="character" w:styleId="CommentReference">
    <w:name w:val="annotation reference"/>
    <w:basedOn w:val="DefaultParagraphFont"/>
    <w:uiPriority w:val="99"/>
    <w:semiHidden/>
    <w:unhideWhenUsed/>
    <w:rsid w:val="00A548AD"/>
    <w:rPr>
      <w:sz w:val="16"/>
      <w:szCs w:val="16"/>
    </w:rPr>
  </w:style>
  <w:style w:type="paragraph" w:styleId="CommentText">
    <w:name w:val="annotation text"/>
    <w:basedOn w:val="Normal"/>
    <w:link w:val="CommentTextChar"/>
    <w:uiPriority w:val="99"/>
    <w:unhideWhenUsed/>
    <w:rsid w:val="00A548AD"/>
    <w:pPr>
      <w:spacing w:line="240" w:lineRule="auto"/>
    </w:pPr>
    <w:rPr>
      <w:sz w:val="20"/>
      <w:szCs w:val="20"/>
    </w:rPr>
  </w:style>
  <w:style w:type="character" w:customStyle="1" w:styleId="CommentTextChar">
    <w:name w:val="Comment Text Char"/>
    <w:basedOn w:val="DefaultParagraphFont"/>
    <w:link w:val="CommentText"/>
    <w:uiPriority w:val="99"/>
    <w:rsid w:val="00A548AD"/>
    <w:rPr>
      <w:sz w:val="20"/>
      <w:szCs w:val="20"/>
    </w:rPr>
  </w:style>
  <w:style w:type="paragraph" w:styleId="CommentSubject">
    <w:name w:val="annotation subject"/>
    <w:basedOn w:val="CommentText"/>
    <w:next w:val="CommentText"/>
    <w:link w:val="CommentSubjectChar"/>
    <w:uiPriority w:val="99"/>
    <w:semiHidden/>
    <w:unhideWhenUsed/>
    <w:rsid w:val="00A548AD"/>
    <w:rPr>
      <w:b/>
      <w:bCs/>
    </w:rPr>
  </w:style>
  <w:style w:type="character" w:customStyle="1" w:styleId="CommentSubjectChar">
    <w:name w:val="Comment Subject Char"/>
    <w:basedOn w:val="CommentTextChar"/>
    <w:link w:val="CommentSubject"/>
    <w:uiPriority w:val="99"/>
    <w:semiHidden/>
    <w:rsid w:val="00A548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7038">
      <w:bodyDiv w:val="1"/>
      <w:marLeft w:val="0"/>
      <w:marRight w:val="0"/>
      <w:marTop w:val="0"/>
      <w:marBottom w:val="0"/>
      <w:divBdr>
        <w:top w:val="none" w:sz="0" w:space="0" w:color="auto"/>
        <w:left w:val="none" w:sz="0" w:space="0" w:color="auto"/>
        <w:bottom w:val="none" w:sz="0" w:space="0" w:color="auto"/>
        <w:right w:val="none" w:sz="0" w:space="0" w:color="auto"/>
      </w:divBdr>
      <w:divsChild>
        <w:div w:id="1572235008">
          <w:marLeft w:val="0"/>
          <w:marRight w:val="0"/>
          <w:marTop w:val="0"/>
          <w:marBottom w:val="0"/>
          <w:divBdr>
            <w:top w:val="none" w:sz="0" w:space="0" w:color="auto"/>
            <w:left w:val="none" w:sz="0" w:space="0" w:color="auto"/>
            <w:bottom w:val="single" w:sz="8" w:space="1" w:color="auto"/>
            <w:right w:val="none" w:sz="0" w:space="0" w:color="auto"/>
          </w:divBdr>
        </w:div>
      </w:divsChild>
    </w:div>
    <w:div w:id="1773473358">
      <w:bodyDiv w:val="1"/>
      <w:marLeft w:val="0"/>
      <w:marRight w:val="0"/>
      <w:marTop w:val="0"/>
      <w:marBottom w:val="0"/>
      <w:divBdr>
        <w:top w:val="none" w:sz="0" w:space="0" w:color="auto"/>
        <w:left w:val="none" w:sz="0" w:space="0" w:color="auto"/>
        <w:bottom w:val="none" w:sz="0" w:space="0" w:color="auto"/>
        <w:right w:val="none" w:sz="0" w:space="0" w:color="auto"/>
      </w:divBdr>
      <w:divsChild>
        <w:div w:id="350956039">
          <w:marLeft w:val="0"/>
          <w:marRight w:val="0"/>
          <w:marTop w:val="0"/>
          <w:marBottom w:val="0"/>
          <w:divBdr>
            <w:top w:val="none" w:sz="0" w:space="0" w:color="auto"/>
            <w:left w:val="none" w:sz="0" w:space="0" w:color="auto"/>
            <w:bottom w:val="single" w:sz="8" w:space="1" w:color="auto"/>
            <w:right w:val="none" w:sz="0" w:space="0" w:color="auto"/>
          </w:divBdr>
        </w:div>
      </w:divsChild>
    </w:div>
    <w:div w:id="1890680271">
      <w:bodyDiv w:val="1"/>
      <w:marLeft w:val="0"/>
      <w:marRight w:val="0"/>
      <w:marTop w:val="0"/>
      <w:marBottom w:val="0"/>
      <w:divBdr>
        <w:top w:val="none" w:sz="0" w:space="0" w:color="auto"/>
        <w:left w:val="none" w:sz="0" w:space="0" w:color="auto"/>
        <w:bottom w:val="none" w:sz="0" w:space="0" w:color="auto"/>
        <w:right w:val="none" w:sz="0" w:space="0" w:color="auto"/>
      </w:divBdr>
    </w:div>
    <w:div w:id="21244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2442</Words>
  <Characters>12289</Characters>
  <Application>Microsoft Office Word</Application>
  <DocSecurity>4</DocSecurity>
  <Lines>201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John (HUMBER TEACHING NHS FOUNDATION TRUST)</dc:creator>
  <cp:keywords/>
  <dc:description/>
  <cp:lastModifiedBy>DUNCAN, John (HUMBER TEACHING NHS FOUNDATION TRUST)</cp:lastModifiedBy>
  <cp:revision>2</cp:revision>
  <dcterms:created xsi:type="dcterms:W3CDTF">2025-04-23T15:01:00Z</dcterms:created>
  <dcterms:modified xsi:type="dcterms:W3CDTF">2025-04-23T15:01:00Z</dcterms:modified>
</cp:coreProperties>
</file>